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F4268">
      <w:pPr>
        <w:pStyle w:val="2"/>
        <w:keepNext/>
        <w:keepLines/>
        <w:pageBreakBefore w:val="0"/>
        <w:widowControl w:val="0"/>
        <w:kinsoku/>
        <w:wordWrap/>
        <w:overflowPunct/>
        <w:topLinePunct w:val="0"/>
        <w:autoSpaceDE/>
        <w:autoSpaceDN/>
        <w:bidi w:val="0"/>
        <w:adjustRightInd/>
        <w:snapToGrid/>
        <w:spacing w:before="0" w:after="100" w:line="360" w:lineRule="auto"/>
        <w:jc w:val="center"/>
        <w:textAlignment w:val="auto"/>
        <w:rPr>
          <w:rFonts w:ascii="宋体" w:hAnsi="宋体" w:cs="仿宋_GB2312"/>
          <w:sz w:val="48"/>
          <w:szCs w:val="48"/>
        </w:rPr>
      </w:pPr>
      <w:r>
        <w:rPr>
          <w:rFonts w:hint="eastAsia" w:ascii="宋体" w:hAnsi="宋体" w:cs="仿宋_GB2312"/>
          <w:sz w:val="48"/>
          <w:szCs w:val="48"/>
        </w:rPr>
        <w:t>采购需求</w:t>
      </w:r>
      <w:bookmarkStart w:id="8" w:name="_GoBack"/>
      <w:bookmarkEnd w:id="8"/>
    </w:p>
    <w:p w14:paraId="5A15B1A4">
      <w:pPr>
        <w:pStyle w:val="3"/>
        <w:numPr>
          <w:ilvl w:val="0"/>
          <w:numId w:val="1"/>
        </w:numPr>
        <w:spacing w:before="100" w:after="100" w:line="240" w:lineRule="auto"/>
        <w:jc w:val="left"/>
        <w:rPr>
          <w:rFonts w:ascii="宋体" w:hAnsi="宋体" w:eastAsia="宋体" w:cs="仿宋_GB2312"/>
          <w:bCs/>
          <w:sz w:val="24"/>
        </w:rPr>
      </w:pPr>
      <w:bookmarkStart w:id="0" w:name="_Hlk196924377"/>
      <w:r>
        <w:rPr>
          <w:rFonts w:hint="eastAsia" w:ascii="宋体" w:hAnsi="宋体" w:eastAsia="宋体" w:cs="仿宋_GB2312"/>
          <w:bCs/>
          <w:sz w:val="24"/>
        </w:rPr>
        <w:t>采购内容：</w:t>
      </w:r>
    </w:p>
    <w:tbl>
      <w:tblPr>
        <w:tblStyle w:val="4"/>
        <w:tblW w:w="6376" w:type="pct"/>
        <w:tblInd w:w="-1168" w:type="dxa"/>
        <w:tblLayout w:type="fixed"/>
        <w:tblCellMar>
          <w:top w:w="0" w:type="dxa"/>
          <w:left w:w="108" w:type="dxa"/>
          <w:bottom w:w="0" w:type="dxa"/>
          <w:right w:w="108" w:type="dxa"/>
        </w:tblCellMar>
      </w:tblPr>
      <w:tblGrid>
        <w:gridCol w:w="851"/>
        <w:gridCol w:w="1278"/>
        <w:gridCol w:w="1137"/>
        <w:gridCol w:w="4679"/>
        <w:gridCol w:w="1576"/>
        <w:gridCol w:w="649"/>
        <w:gridCol w:w="697"/>
      </w:tblGrid>
      <w:tr w14:paraId="385F3A97">
        <w:tblPrEx>
          <w:tblCellMar>
            <w:top w:w="0" w:type="dxa"/>
            <w:left w:w="108" w:type="dxa"/>
            <w:bottom w:w="0" w:type="dxa"/>
            <w:right w:w="108" w:type="dxa"/>
          </w:tblCellMar>
        </w:tblPrEx>
        <w:trPr>
          <w:trHeight w:val="20" w:hRule="atLeast"/>
        </w:trPr>
        <w:tc>
          <w:tcPr>
            <w:tcW w:w="39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6A9373">
            <w:pPr>
              <w:widowControl/>
              <w:spacing w:line="400" w:lineRule="exact"/>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序号</w:t>
            </w:r>
          </w:p>
        </w:tc>
        <w:tc>
          <w:tcPr>
            <w:tcW w:w="588" w:type="pct"/>
            <w:tcBorders>
              <w:top w:val="single" w:color="auto" w:sz="4" w:space="0"/>
              <w:left w:val="nil"/>
              <w:bottom w:val="single" w:color="auto" w:sz="4" w:space="0"/>
              <w:right w:val="single" w:color="auto" w:sz="4" w:space="0"/>
            </w:tcBorders>
            <w:shd w:val="clear" w:color="000000" w:fill="FFFFFF"/>
            <w:noWrap w:val="0"/>
            <w:vAlign w:val="center"/>
          </w:tcPr>
          <w:p w14:paraId="6B2806F4">
            <w:pPr>
              <w:widowControl/>
              <w:spacing w:line="400" w:lineRule="exact"/>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采购分类</w:t>
            </w:r>
          </w:p>
        </w:tc>
        <w:tc>
          <w:tcPr>
            <w:tcW w:w="523" w:type="pct"/>
            <w:tcBorders>
              <w:top w:val="single" w:color="auto" w:sz="4" w:space="0"/>
              <w:left w:val="nil"/>
              <w:bottom w:val="single" w:color="auto" w:sz="4" w:space="0"/>
              <w:right w:val="single" w:color="auto" w:sz="4" w:space="0"/>
            </w:tcBorders>
            <w:shd w:val="clear" w:color="000000" w:fill="FFFFFF"/>
            <w:noWrap w:val="0"/>
            <w:vAlign w:val="center"/>
          </w:tcPr>
          <w:p w14:paraId="595E6F99">
            <w:pPr>
              <w:widowControl/>
              <w:spacing w:line="400" w:lineRule="exact"/>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采购内容</w:t>
            </w:r>
          </w:p>
        </w:tc>
        <w:tc>
          <w:tcPr>
            <w:tcW w:w="2153" w:type="pct"/>
            <w:tcBorders>
              <w:top w:val="single" w:color="auto" w:sz="4" w:space="0"/>
              <w:left w:val="nil"/>
              <w:bottom w:val="single" w:color="auto" w:sz="4" w:space="0"/>
              <w:right w:val="single" w:color="auto" w:sz="4" w:space="0"/>
            </w:tcBorders>
            <w:shd w:val="clear" w:color="000000" w:fill="FFFFFF"/>
            <w:noWrap/>
            <w:vAlign w:val="center"/>
          </w:tcPr>
          <w:p w14:paraId="5410D587">
            <w:pPr>
              <w:widowControl/>
              <w:spacing w:line="400" w:lineRule="exact"/>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技术参数要求</w:t>
            </w:r>
          </w:p>
        </w:tc>
        <w:tc>
          <w:tcPr>
            <w:tcW w:w="725" w:type="pct"/>
            <w:tcBorders>
              <w:top w:val="single" w:color="auto" w:sz="4" w:space="0"/>
              <w:left w:val="nil"/>
              <w:bottom w:val="single" w:color="auto" w:sz="4" w:space="0"/>
              <w:right w:val="single" w:color="auto" w:sz="4" w:space="0"/>
            </w:tcBorders>
            <w:shd w:val="clear" w:color="000000" w:fill="FFFFFF"/>
            <w:noWrap w:val="0"/>
            <w:vAlign w:val="center"/>
          </w:tcPr>
          <w:p w14:paraId="4E6BB795">
            <w:pPr>
              <w:widowControl/>
              <w:spacing w:line="400" w:lineRule="exact"/>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品牌型号</w:t>
            </w:r>
          </w:p>
        </w:tc>
        <w:tc>
          <w:tcPr>
            <w:tcW w:w="299" w:type="pct"/>
            <w:tcBorders>
              <w:top w:val="single" w:color="auto" w:sz="4" w:space="0"/>
              <w:left w:val="nil"/>
              <w:bottom w:val="single" w:color="auto" w:sz="4" w:space="0"/>
              <w:right w:val="single" w:color="auto" w:sz="4" w:space="0"/>
            </w:tcBorders>
            <w:shd w:val="clear" w:color="000000" w:fill="FFFFFF"/>
            <w:noWrap w:val="0"/>
            <w:vAlign w:val="center"/>
          </w:tcPr>
          <w:p w14:paraId="2417DDAF">
            <w:pPr>
              <w:widowControl/>
              <w:spacing w:line="400" w:lineRule="exact"/>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数量</w:t>
            </w:r>
          </w:p>
        </w:tc>
        <w:tc>
          <w:tcPr>
            <w:tcW w:w="321" w:type="pct"/>
            <w:tcBorders>
              <w:top w:val="single" w:color="auto" w:sz="4" w:space="0"/>
              <w:left w:val="nil"/>
              <w:bottom w:val="single" w:color="auto" w:sz="4" w:space="0"/>
              <w:right w:val="single" w:color="auto" w:sz="4" w:space="0"/>
            </w:tcBorders>
            <w:shd w:val="clear" w:color="000000" w:fill="FFFFFF"/>
            <w:noWrap w:val="0"/>
            <w:vAlign w:val="center"/>
          </w:tcPr>
          <w:p w14:paraId="51DC6465">
            <w:pPr>
              <w:widowControl/>
              <w:spacing w:line="400" w:lineRule="exact"/>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单位</w:t>
            </w:r>
          </w:p>
        </w:tc>
      </w:tr>
      <w:tr w14:paraId="1CF2982B">
        <w:tblPrEx>
          <w:tblCellMar>
            <w:top w:w="0" w:type="dxa"/>
            <w:left w:w="108" w:type="dxa"/>
            <w:bottom w:w="0" w:type="dxa"/>
            <w:right w:w="108" w:type="dxa"/>
          </w:tblCellMar>
        </w:tblPrEx>
        <w:trPr>
          <w:trHeight w:val="20" w:hRule="atLeast"/>
        </w:trPr>
        <w:tc>
          <w:tcPr>
            <w:tcW w:w="391"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5FB79F60">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588"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303D3044">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摄像机及配件</w:t>
            </w:r>
          </w:p>
        </w:tc>
        <w:tc>
          <w:tcPr>
            <w:tcW w:w="523" w:type="pct"/>
            <w:tcBorders>
              <w:top w:val="nil"/>
              <w:left w:val="nil"/>
              <w:bottom w:val="single" w:color="auto" w:sz="4" w:space="0"/>
              <w:right w:val="single" w:color="auto" w:sz="4" w:space="0"/>
            </w:tcBorders>
            <w:shd w:val="clear" w:color="000000" w:fill="FFFFFF"/>
            <w:noWrap w:val="0"/>
            <w:vAlign w:val="center"/>
          </w:tcPr>
          <w:p w14:paraId="3ACAABEE">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智能球型摄像机</w:t>
            </w:r>
          </w:p>
        </w:tc>
        <w:tc>
          <w:tcPr>
            <w:tcW w:w="2153" w:type="pct"/>
            <w:tcBorders>
              <w:top w:val="nil"/>
              <w:left w:val="nil"/>
              <w:bottom w:val="single" w:color="auto" w:sz="4" w:space="0"/>
              <w:right w:val="single" w:color="auto" w:sz="4" w:space="0"/>
            </w:tcBorders>
            <w:shd w:val="clear" w:color="auto" w:fill="auto"/>
            <w:noWrap w:val="0"/>
            <w:vAlign w:val="center"/>
          </w:tcPr>
          <w:p w14:paraId="0E28CD35">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7寸红外智能球机</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适用于交通道路，广场、公园、出入口、园区周界等场景</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支持深度学习算法，提供精准的人车分类侦测、报警、联动球机镜头进行快速查看</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支持切换为人脸抓拍模式，最大同时抓拍5张人脸</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内置加热玻璃，有效除雾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IP66，符合GB/T17626.2/3/4/5/6四级标准</w:t>
            </w:r>
          </w:p>
        </w:tc>
        <w:tc>
          <w:tcPr>
            <w:tcW w:w="725" w:type="pct"/>
            <w:tcBorders>
              <w:top w:val="nil"/>
              <w:left w:val="nil"/>
              <w:bottom w:val="single" w:color="auto" w:sz="4" w:space="0"/>
              <w:right w:val="single" w:color="auto" w:sz="4" w:space="0"/>
            </w:tcBorders>
            <w:shd w:val="clear" w:color="auto" w:fill="auto"/>
            <w:noWrap w:val="0"/>
            <w:vAlign w:val="center"/>
          </w:tcPr>
          <w:p w14:paraId="0A7C6A2D">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 海康威视DS-2DE74XNCDE-XYZLXN</w:t>
            </w:r>
          </w:p>
        </w:tc>
        <w:tc>
          <w:tcPr>
            <w:tcW w:w="299" w:type="pct"/>
            <w:tcBorders>
              <w:top w:val="nil"/>
              <w:left w:val="nil"/>
              <w:bottom w:val="single" w:color="auto" w:sz="4" w:space="0"/>
              <w:right w:val="single" w:color="auto" w:sz="4" w:space="0"/>
            </w:tcBorders>
            <w:shd w:val="clear" w:color="auto" w:fill="auto"/>
            <w:noWrap w:val="0"/>
            <w:vAlign w:val="center"/>
          </w:tcPr>
          <w:p w14:paraId="0962F160">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7</w:t>
            </w:r>
          </w:p>
        </w:tc>
        <w:tc>
          <w:tcPr>
            <w:tcW w:w="321" w:type="pct"/>
            <w:tcBorders>
              <w:top w:val="nil"/>
              <w:left w:val="nil"/>
              <w:bottom w:val="single" w:color="auto" w:sz="4" w:space="0"/>
              <w:right w:val="single" w:color="auto" w:sz="4" w:space="0"/>
            </w:tcBorders>
            <w:shd w:val="clear" w:color="000000" w:fill="FFFFFF"/>
            <w:noWrap/>
            <w:vAlign w:val="center"/>
          </w:tcPr>
          <w:p w14:paraId="6058DA2C">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台</w:t>
            </w:r>
          </w:p>
        </w:tc>
      </w:tr>
      <w:tr w14:paraId="0611474C">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shd w:val="clear" w:color="auto" w:fill="auto"/>
            <w:noWrap w:val="0"/>
            <w:vAlign w:val="center"/>
          </w:tcPr>
          <w:p w14:paraId="27470905">
            <w:pPr>
              <w:widowControl/>
              <w:spacing w:line="400" w:lineRule="exact"/>
              <w:jc w:val="left"/>
              <w:rPr>
                <w:rFonts w:ascii="仿宋_GB2312" w:hAnsi="等线" w:eastAsia="仿宋_GB2312" w:cs="宋体"/>
                <w:color w:val="000000"/>
                <w:kern w:val="0"/>
                <w:szCs w:val="21"/>
              </w:rPr>
            </w:pPr>
          </w:p>
        </w:tc>
        <w:tc>
          <w:tcPr>
            <w:tcW w:w="588" w:type="pct"/>
            <w:vMerge w:val="continue"/>
            <w:tcBorders>
              <w:top w:val="nil"/>
              <w:left w:val="single" w:color="auto" w:sz="4" w:space="0"/>
              <w:bottom w:val="single" w:color="auto" w:sz="4" w:space="0"/>
              <w:right w:val="single" w:color="auto" w:sz="4" w:space="0"/>
            </w:tcBorders>
            <w:shd w:val="clear" w:color="auto" w:fill="auto"/>
            <w:noWrap w:val="0"/>
            <w:vAlign w:val="center"/>
          </w:tcPr>
          <w:p w14:paraId="21D39632">
            <w:pPr>
              <w:widowControl/>
              <w:spacing w:line="400" w:lineRule="exact"/>
              <w:jc w:val="left"/>
              <w:rPr>
                <w:rFonts w:ascii="仿宋_GB2312" w:hAnsi="等线" w:eastAsia="仿宋_GB2312" w:cs="宋体"/>
                <w:color w:val="000000"/>
                <w:kern w:val="0"/>
                <w:szCs w:val="21"/>
              </w:rPr>
            </w:pPr>
          </w:p>
        </w:tc>
        <w:tc>
          <w:tcPr>
            <w:tcW w:w="523" w:type="pct"/>
            <w:tcBorders>
              <w:top w:val="nil"/>
              <w:left w:val="nil"/>
              <w:bottom w:val="single" w:color="auto" w:sz="4" w:space="0"/>
              <w:right w:val="single" w:color="auto" w:sz="4" w:space="0"/>
            </w:tcBorders>
            <w:shd w:val="clear" w:color="000000" w:fill="FFFFFF"/>
            <w:noWrap w:val="0"/>
            <w:vAlign w:val="center"/>
          </w:tcPr>
          <w:p w14:paraId="3D83A472">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枪型网络摄像机</w:t>
            </w:r>
          </w:p>
        </w:tc>
        <w:tc>
          <w:tcPr>
            <w:tcW w:w="2153" w:type="pct"/>
            <w:tcBorders>
              <w:top w:val="nil"/>
              <w:left w:val="nil"/>
              <w:bottom w:val="single" w:color="auto" w:sz="4" w:space="0"/>
              <w:right w:val="single" w:color="auto" w:sz="4" w:space="0"/>
            </w:tcBorders>
            <w:shd w:val="clear" w:color="auto" w:fill="auto"/>
            <w:noWrap w:val="0"/>
            <w:vAlign w:val="center"/>
          </w:tcPr>
          <w:p w14:paraId="3C18C975">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400万智能筒型网络摄像机</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智能侦测：提供人车分类侦测，支持越界侦测，区域入侵侦测，进入/离开区域侦测</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支持联动声音报警</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人脸抓拍：支持对运动人脸进行检测、跟踪、抓拍、评分、筛选，输出最优的人脸抓拍</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最高分辨率可达2560 × 1440 @25 fps，在该分辨率下可输出实时图像</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符合IP67防尘防水设计，可靠性高</w:t>
            </w:r>
          </w:p>
        </w:tc>
        <w:tc>
          <w:tcPr>
            <w:tcW w:w="725" w:type="pct"/>
            <w:tcBorders>
              <w:top w:val="nil"/>
              <w:left w:val="nil"/>
              <w:bottom w:val="single" w:color="auto" w:sz="4" w:space="0"/>
              <w:right w:val="single" w:color="auto" w:sz="4" w:space="0"/>
            </w:tcBorders>
            <w:shd w:val="clear" w:color="auto" w:fill="auto"/>
            <w:noWrap w:val="0"/>
            <w:vAlign w:val="center"/>
          </w:tcPr>
          <w:p w14:paraId="441E3D7D">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 海康威视DS-2CD2T4XYZUVA-BCZL</w:t>
            </w:r>
          </w:p>
        </w:tc>
        <w:tc>
          <w:tcPr>
            <w:tcW w:w="299" w:type="pct"/>
            <w:tcBorders>
              <w:top w:val="nil"/>
              <w:left w:val="nil"/>
              <w:bottom w:val="single" w:color="auto" w:sz="4" w:space="0"/>
              <w:right w:val="single" w:color="auto" w:sz="4" w:space="0"/>
            </w:tcBorders>
            <w:shd w:val="clear" w:color="auto" w:fill="auto"/>
            <w:noWrap w:val="0"/>
            <w:vAlign w:val="center"/>
          </w:tcPr>
          <w:p w14:paraId="3FD66FDF">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88</w:t>
            </w:r>
          </w:p>
        </w:tc>
        <w:tc>
          <w:tcPr>
            <w:tcW w:w="321" w:type="pct"/>
            <w:tcBorders>
              <w:top w:val="nil"/>
              <w:left w:val="nil"/>
              <w:bottom w:val="single" w:color="auto" w:sz="4" w:space="0"/>
              <w:right w:val="single" w:color="auto" w:sz="4" w:space="0"/>
            </w:tcBorders>
            <w:shd w:val="clear" w:color="000000" w:fill="FFFFFF"/>
            <w:noWrap/>
            <w:vAlign w:val="center"/>
          </w:tcPr>
          <w:p w14:paraId="07E548C6">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台</w:t>
            </w:r>
          </w:p>
        </w:tc>
      </w:tr>
      <w:tr w14:paraId="2DB5B8DD">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shd w:val="clear" w:color="auto" w:fill="auto"/>
            <w:noWrap w:val="0"/>
            <w:vAlign w:val="center"/>
          </w:tcPr>
          <w:p w14:paraId="71F1F35B">
            <w:pPr>
              <w:widowControl/>
              <w:spacing w:line="400" w:lineRule="exact"/>
              <w:jc w:val="left"/>
              <w:rPr>
                <w:rFonts w:ascii="仿宋_GB2312" w:hAnsi="等线" w:eastAsia="仿宋_GB2312" w:cs="宋体"/>
                <w:color w:val="000000"/>
                <w:kern w:val="0"/>
                <w:szCs w:val="21"/>
              </w:rPr>
            </w:pPr>
          </w:p>
        </w:tc>
        <w:tc>
          <w:tcPr>
            <w:tcW w:w="588" w:type="pct"/>
            <w:vMerge w:val="continue"/>
            <w:tcBorders>
              <w:top w:val="nil"/>
              <w:left w:val="single" w:color="auto" w:sz="4" w:space="0"/>
              <w:bottom w:val="single" w:color="auto" w:sz="4" w:space="0"/>
              <w:right w:val="single" w:color="auto" w:sz="4" w:space="0"/>
            </w:tcBorders>
            <w:shd w:val="clear" w:color="auto" w:fill="auto"/>
            <w:noWrap w:val="0"/>
            <w:vAlign w:val="center"/>
          </w:tcPr>
          <w:p w14:paraId="065F8394">
            <w:pPr>
              <w:widowControl/>
              <w:spacing w:line="400" w:lineRule="exact"/>
              <w:jc w:val="left"/>
              <w:rPr>
                <w:rFonts w:ascii="仿宋_GB2312" w:hAnsi="等线" w:eastAsia="仿宋_GB2312" w:cs="宋体"/>
                <w:color w:val="000000"/>
                <w:kern w:val="0"/>
                <w:szCs w:val="21"/>
              </w:rPr>
            </w:pPr>
          </w:p>
        </w:tc>
        <w:tc>
          <w:tcPr>
            <w:tcW w:w="523" w:type="pct"/>
            <w:tcBorders>
              <w:top w:val="nil"/>
              <w:left w:val="nil"/>
              <w:bottom w:val="single" w:color="auto" w:sz="4" w:space="0"/>
              <w:right w:val="single" w:color="auto" w:sz="4" w:space="0"/>
            </w:tcBorders>
            <w:shd w:val="clear" w:color="000000" w:fill="FFFFFF"/>
            <w:noWrap w:val="0"/>
            <w:vAlign w:val="center"/>
          </w:tcPr>
          <w:p w14:paraId="2FFD605B">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半球型网络摄像机</w:t>
            </w:r>
          </w:p>
        </w:tc>
        <w:tc>
          <w:tcPr>
            <w:tcW w:w="2153" w:type="pct"/>
            <w:tcBorders>
              <w:top w:val="nil"/>
              <w:left w:val="nil"/>
              <w:bottom w:val="single" w:color="auto" w:sz="4" w:space="0"/>
              <w:right w:val="single" w:color="auto" w:sz="4" w:space="0"/>
            </w:tcBorders>
            <w:shd w:val="clear" w:color="auto" w:fill="auto"/>
            <w:noWrap w:val="0"/>
            <w:vAlign w:val="center"/>
          </w:tcPr>
          <w:p w14:paraId="11675F16">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智能半球型摄像机</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支持智能资源模式切换：人脸抓拍，道路监控，Smart事件，人数统计</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系统功能：支持开放型网络视频接口、ISAPI、GB28181和E-HOME协议接入；支持三码流技术，支持同时20路取流；支持萤石平台接入</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鳞镜补光：采用隐藏式灯珠设计，通过鳞甲密布排列形成的镜面反射出光，见光不见灯。增加发光面积，降低聚光效果，补光柔和均匀</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接口功能：内置MicroSD/MicroSDHC/MicroSDXC插槽，最大支持 512 GB；支持10 M/100 M自适应网口；支持一对报警输入输出</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支持电量检测：支持设备功耗检测，支持设备功耗报表展示，报表类型支持日报表和周报表（默认日报表，单位瓦时（W·h））</w:t>
            </w:r>
          </w:p>
        </w:tc>
        <w:tc>
          <w:tcPr>
            <w:tcW w:w="725" w:type="pct"/>
            <w:tcBorders>
              <w:top w:val="nil"/>
              <w:left w:val="nil"/>
              <w:bottom w:val="single" w:color="auto" w:sz="4" w:space="0"/>
              <w:right w:val="single" w:color="auto" w:sz="4" w:space="0"/>
            </w:tcBorders>
            <w:shd w:val="clear" w:color="auto" w:fill="auto"/>
            <w:noWrap w:val="0"/>
            <w:vAlign w:val="center"/>
          </w:tcPr>
          <w:p w14:paraId="5F49E7B1">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 海康威视DS-2CD7D4XYZUV-ABCZL</w:t>
            </w:r>
          </w:p>
        </w:tc>
        <w:tc>
          <w:tcPr>
            <w:tcW w:w="299" w:type="pct"/>
            <w:tcBorders>
              <w:top w:val="nil"/>
              <w:left w:val="nil"/>
              <w:bottom w:val="single" w:color="auto" w:sz="4" w:space="0"/>
              <w:right w:val="single" w:color="auto" w:sz="4" w:space="0"/>
            </w:tcBorders>
            <w:shd w:val="clear" w:color="auto" w:fill="auto"/>
            <w:noWrap w:val="0"/>
            <w:vAlign w:val="center"/>
          </w:tcPr>
          <w:p w14:paraId="745087ED">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63</w:t>
            </w:r>
          </w:p>
        </w:tc>
        <w:tc>
          <w:tcPr>
            <w:tcW w:w="321" w:type="pct"/>
            <w:tcBorders>
              <w:top w:val="nil"/>
              <w:left w:val="nil"/>
              <w:bottom w:val="single" w:color="auto" w:sz="4" w:space="0"/>
              <w:right w:val="single" w:color="auto" w:sz="4" w:space="0"/>
            </w:tcBorders>
            <w:shd w:val="clear" w:color="000000" w:fill="FFFFFF"/>
            <w:noWrap/>
            <w:vAlign w:val="center"/>
          </w:tcPr>
          <w:p w14:paraId="445CC859">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台</w:t>
            </w:r>
          </w:p>
        </w:tc>
      </w:tr>
      <w:tr w14:paraId="0711F7F1">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shd w:val="clear" w:color="auto" w:fill="auto"/>
            <w:noWrap w:val="0"/>
            <w:vAlign w:val="center"/>
          </w:tcPr>
          <w:p w14:paraId="5DCD97EB">
            <w:pPr>
              <w:widowControl/>
              <w:spacing w:line="400" w:lineRule="exact"/>
              <w:jc w:val="left"/>
              <w:rPr>
                <w:rFonts w:ascii="仿宋_GB2312" w:hAnsi="等线" w:eastAsia="仿宋_GB2312" w:cs="宋体"/>
                <w:color w:val="000000"/>
                <w:kern w:val="0"/>
                <w:szCs w:val="21"/>
              </w:rPr>
            </w:pPr>
          </w:p>
        </w:tc>
        <w:tc>
          <w:tcPr>
            <w:tcW w:w="588" w:type="pct"/>
            <w:vMerge w:val="continue"/>
            <w:tcBorders>
              <w:top w:val="nil"/>
              <w:left w:val="single" w:color="auto" w:sz="4" w:space="0"/>
              <w:bottom w:val="single" w:color="auto" w:sz="4" w:space="0"/>
              <w:right w:val="single" w:color="auto" w:sz="4" w:space="0"/>
            </w:tcBorders>
            <w:shd w:val="clear" w:color="auto" w:fill="auto"/>
            <w:noWrap w:val="0"/>
            <w:vAlign w:val="center"/>
          </w:tcPr>
          <w:p w14:paraId="10FDC51A">
            <w:pPr>
              <w:widowControl/>
              <w:spacing w:line="400" w:lineRule="exact"/>
              <w:jc w:val="left"/>
              <w:rPr>
                <w:rFonts w:ascii="仿宋_GB2312" w:hAnsi="等线" w:eastAsia="仿宋_GB2312" w:cs="宋体"/>
                <w:color w:val="000000"/>
                <w:kern w:val="0"/>
                <w:szCs w:val="21"/>
              </w:rPr>
            </w:pPr>
          </w:p>
        </w:tc>
        <w:tc>
          <w:tcPr>
            <w:tcW w:w="523" w:type="pct"/>
            <w:tcBorders>
              <w:top w:val="nil"/>
              <w:left w:val="nil"/>
              <w:bottom w:val="single" w:color="auto" w:sz="4" w:space="0"/>
              <w:right w:val="single" w:color="auto" w:sz="4" w:space="0"/>
            </w:tcBorders>
            <w:shd w:val="clear" w:color="000000" w:fill="FFFFFF"/>
            <w:noWrap w:val="0"/>
            <w:vAlign w:val="center"/>
          </w:tcPr>
          <w:p w14:paraId="2971E6C6">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电梯网络摄像机</w:t>
            </w:r>
          </w:p>
        </w:tc>
        <w:tc>
          <w:tcPr>
            <w:tcW w:w="2153" w:type="pct"/>
            <w:tcBorders>
              <w:top w:val="nil"/>
              <w:left w:val="nil"/>
              <w:bottom w:val="single" w:color="auto" w:sz="4" w:space="0"/>
              <w:right w:val="single" w:color="auto" w:sz="4" w:space="0"/>
            </w:tcBorders>
            <w:shd w:val="clear" w:color="auto" w:fill="auto"/>
            <w:noWrap w:val="0"/>
            <w:vAlign w:val="center"/>
          </w:tcPr>
          <w:p w14:paraId="6DD7AF43">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电梯电瓶车识别网络摄像机</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最高分辨率可达2560 × 1440@25 fps，在该分辨率下可输出实时图像</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采用高效阵列红外灯，使用寿命长，红外照射距离最远可达10 m</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遮挡检测：内置ToF传感器，可有效检测遮挡摄像机的行为，摄像机检测角度最大25°，检测距离默认70 cm</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内置MicroSD/MicroSDHC/MicroSDXC 插槽，最大支持512 GB</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1个内置麦克风，1个内置扬声器，支持双向语音对讲</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最大图像尺寸：2560 × 1440</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调节角度：水平：-15°~15°，垂直：0°~75°  </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焦距&amp;视场角：2 mm，水平视场角：128°，垂直视场角：75°，对角视场角：147°</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2.8 mm，水平视场角：104°，垂直视场角：57°，对角视场角：122°</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4 mm，水平视场角：84°，垂直视场角：45°，对角视场角：100°  </w:t>
            </w:r>
          </w:p>
        </w:tc>
        <w:tc>
          <w:tcPr>
            <w:tcW w:w="725" w:type="pct"/>
            <w:tcBorders>
              <w:top w:val="nil"/>
              <w:left w:val="nil"/>
              <w:bottom w:val="single" w:color="auto" w:sz="4" w:space="0"/>
              <w:right w:val="single" w:color="auto" w:sz="4" w:space="0"/>
            </w:tcBorders>
            <w:shd w:val="clear" w:color="auto" w:fill="auto"/>
            <w:noWrap w:val="0"/>
            <w:vAlign w:val="center"/>
          </w:tcPr>
          <w:p w14:paraId="739DDBB2">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 海康威视DS-2CD254XYZUV-ABCZL</w:t>
            </w:r>
          </w:p>
        </w:tc>
        <w:tc>
          <w:tcPr>
            <w:tcW w:w="299" w:type="pct"/>
            <w:tcBorders>
              <w:top w:val="nil"/>
              <w:left w:val="nil"/>
              <w:bottom w:val="single" w:color="auto" w:sz="4" w:space="0"/>
              <w:right w:val="single" w:color="auto" w:sz="4" w:space="0"/>
            </w:tcBorders>
            <w:shd w:val="clear" w:color="auto" w:fill="auto"/>
            <w:noWrap w:val="0"/>
            <w:vAlign w:val="center"/>
          </w:tcPr>
          <w:p w14:paraId="611702D6">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2</w:t>
            </w:r>
          </w:p>
        </w:tc>
        <w:tc>
          <w:tcPr>
            <w:tcW w:w="321" w:type="pct"/>
            <w:tcBorders>
              <w:top w:val="nil"/>
              <w:left w:val="nil"/>
              <w:bottom w:val="single" w:color="auto" w:sz="4" w:space="0"/>
              <w:right w:val="single" w:color="auto" w:sz="4" w:space="0"/>
            </w:tcBorders>
            <w:shd w:val="clear" w:color="000000" w:fill="FFFFFF"/>
            <w:noWrap/>
            <w:vAlign w:val="center"/>
          </w:tcPr>
          <w:p w14:paraId="2EFDBF63">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台</w:t>
            </w:r>
          </w:p>
        </w:tc>
      </w:tr>
      <w:tr w14:paraId="648A6489">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shd w:val="clear" w:color="auto" w:fill="auto"/>
            <w:noWrap w:val="0"/>
            <w:vAlign w:val="center"/>
          </w:tcPr>
          <w:p w14:paraId="0786CA00">
            <w:pPr>
              <w:widowControl/>
              <w:spacing w:line="400" w:lineRule="exact"/>
              <w:jc w:val="left"/>
              <w:rPr>
                <w:rFonts w:ascii="仿宋_GB2312" w:hAnsi="等线" w:eastAsia="仿宋_GB2312" w:cs="宋体"/>
                <w:color w:val="000000"/>
                <w:kern w:val="0"/>
                <w:szCs w:val="21"/>
              </w:rPr>
            </w:pPr>
          </w:p>
        </w:tc>
        <w:tc>
          <w:tcPr>
            <w:tcW w:w="588" w:type="pct"/>
            <w:vMerge w:val="continue"/>
            <w:tcBorders>
              <w:top w:val="nil"/>
              <w:left w:val="single" w:color="auto" w:sz="4" w:space="0"/>
              <w:bottom w:val="single" w:color="auto" w:sz="4" w:space="0"/>
              <w:right w:val="single" w:color="auto" w:sz="4" w:space="0"/>
            </w:tcBorders>
            <w:shd w:val="clear" w:color="auto" w:fill="auto"/>
            <w:noWrap w:val="0"/>
            <w:vAlign w:val="center"/>
          </w:tcPr>
          <w:p w14:paraId="283B1AD3">
            <w:pPr>
              <w:widowControl/>
              <w:spacing w:line="400" w:lineRule="exact"/>
              <w:jc w:val="left"/>
              <w:rPr>
                <w:rFonts w:ascii="仿宋_GB2312" w:hAnsi="等线" w:eastAsia="仿宋_GB2312" w:cs="宋体"/>
                <w:color w:val="000000"/>
                <w:kern w:val="0"/>
                <w:szCs w:val="21"/>
              </w:rPr>
            </w:pPr>
          </w:p>
        </w:tc>
        <w:tc>
          <w:tcPr>
            <w:tcW w:w="523" w:type="pct"/>
            <w:tcBorders>
              <w:top w:val="nil"/>
              <w:left w:val="nil"/>
              <w:bottom w:val="single" w:color="auto" w:sz="4" w:space="0"/>
              <w:right w:val="single" w:color="auto" w:sz="4" w:space="0"/>
            </w:tcBorders>
            <w:shd w:val="clear" w:color="000000" w:fill="FFFFFF"/>
            <w:noWrap w:val="0"/>
            <w:vAlign w:val="center"/>
          </w:tcPr>
          <w:p w14:paraId="56DBDAAD">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考勤摄像机</w:t>
            </w:r>
          </w:p>
        </w:tc>
        <w:tc>
          <w:tcPr>
            <w:tcW w:w="2153" w:type="pct"/>
            <w:tcBorders>
              <w:top w:val="nil"/>
              <w:left w:val="nil"/>
              <w:bottom w:val="single" w:color="auto" w:sz="4" w:space="0"/>
              <w:right w:val="single" w:color="auto" w:sz="4" w:space="0"/>
            </w:tcBorders>
            <w:shd w:val="clear" w:color="auto" w:fill="auto"/>
            <w:noWrap w:val="0"/>
            <w:vAlign w:val="center"/>
          </w:tcPr>
          <w:p w14:paraId="3F674C6F">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智能网络摄像机</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采用深度学习算法，以海量图片及视频资源为路基，通过机器自身提取目标特征，形成深层可供学习的图像。极大的提升了算法的检出率</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支持智能资源模式切换：人脸抓拍、道路监控、Smart事件、人数统计、热度图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鳞镜补光：采用隐藏式灯珠设计，通过鳞甲密布排列形成的镜面反射出光，见光不见灯。增加发光面积，降低聚光效果，补光柔和均匀</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支持电量检测：支持设备功耗检测，支持设备功耗报表展示，报表类型支持日报表和周报表（默认日报表，单位瓦时（W·h））</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设备内置电动变焦镜头，操作便易，变焦过程平稳</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设备内置2个麦克风，内置1个扬声器</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支持标准的512 GB MicroSD/MicroSDHC/MicroSDXC卡存储，支持10 M/100 M自适应网口</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最高分辨率可达400万像素，并在此分辨率下可输出60 fps实时图像，图像更流畅，支持透雾、电子防抖，支持宽动态120 dB</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音频：2路输入，1路输出；报警：3路输入，2路输出</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防护等级：IP67</w:t>
            </w:r>
          </w:p>
        </w:tc>
        <w:tc>
          <w:tcPr>
            <w:tcW w:w="725" w:type="pct"/>
            <w:tcBorders>
              <w:top w:val="nil"/>
              <w:left w:val="nil"/>
              <w:bottom w:val="single" w:color="auto" w:sz="4" w:space="0"/>
              <w:right w:val="single" w:color="auto" w:sz="4" w:space="0"/>
            </w:tcBorders>
            <w:shd w:val="clear" w:color="auto" w:fill="auto"/>
            <w:noWrap w:val="0"/>
            <w:vAlign w:val="center"/>
          </w:tcPr>
          <w:p w14:paraId="76F236C2">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海康威视DS-2CD7A4XYZUV-ABCZL</w:t>
            </w:r>
          </w:p>
        </w:tc>
        <w:tc>
          <w:tcPr>
            <w:tcW w:w="299" w:type="pct"/>
            <w:tcBorders>
              <w:top w:val="nil"/>
              <w:left w:val="nil"/>
              <w:bottom w:val="single" w:color="auto" w:sz="4" w:space="0"/>
              <w:right w:val="single" w:color="auto" w:sz="4" w:space="0"/>
            </w:tcBorders>
            <w:shd w:val="clear" w:color="auto" w:fill="auto"/>
            <w:noWrap w:val="0"/>
            <w:vAlign w:val="center"/>
          </w:tcPr>
          <w:p w14:paraId="48214FA7">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5</w:t>
            </w:r>
          </w:p>
        </w:tc>
        <w:tc>
          <w:tcPr>
            <w:tcW w:w="321" w:type="pct"/>
            <w:tcBorders>
              <w:top w:val="nil"/>
              <w:left w:val="nil"/>
              <w:bottom w:val="single" w:color="auto" w:sz="4" w:space="0"/>
              <w:right w:val="single" w:color="auto" w:sz="4" w:space="0"/>
            </w:tcBorders>
            <w:shd w:val="clear" w:color="000000" w:fill="FFFFFF"/>
            <w:noWrap/>
            <w:vAlign w:val="center"/>
          </w:tcPr>
          <w:p w14:paraId="01B4D0B7">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台</w:t>
            </w:r>
          </w:p>
        </w:tc>
      </w:tr>
      <w:tr w14:paraId="43C64480">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C1856E2">
            <w:pPr>
              <w:widowControl/>
              <w:spacing w:line="400" w:lineRule="exact"/>
              <w:jc w:val="left"/>
              <w:rPr>
                <w:rFonts w:ascii="仿宋_GB2312" w:hAnsi="等线" w:eastAsia="仿宋_GB2312" w:cs="宋体"/>
                <w:color w:val="000000"/>
                <w:kern w:val="0"/>
                <w:szCs w:val="21"/>
              </w:rPr>
            </w:pPr>
          </w:p>
        </w:tc>
        <w:tc>
          <w:tcPr>
            <w:tcW w:w="588" w:type="pct"/>
            <w:vMerge w:val="continue"/>
            <w:tcBorders>
              <w:top w:val="nil"/>
              <w:left w:val="single" w:color="auto" w:sz="4" w:space="0"/>
              <w:bottom w:val="single" w:color="auto" w:sz="4" w:space="0"/>
              <w:right w:val="single" w:color="auto" w:sz="4" w:space="0"/>
            </w:tcBorders>
            <w:shd w:val="clear" w:color="auto" w:fill="auto"/>
            <w:noWrap w:val="0"/>
            <w:vAlign w:val="center"/>
          </w:tcPr>
          <w:p w14:paraId="2785B647">
            <w:pPr>
              <w:widowControl/>
              <w:spacing w:line="400" w:lineRule="exact"/>
              <w:jc w:val="left"/>
              <w:rPr>
                <w:rFonts w:ascii="仿宋_GB2312" w:hAnsi="等线" w:eastAsia="仿宋_GB2312" w:cs="宋体"/>
                <w:color w:val="000000"/>
                <w:kern w:val="0"/>
                <w:szCs w:val="21"/>
              </w:rPr>
            </w:pPr>
          </w:p>
        </w:tc>
        <w:tc>
          <w:tcPr>
            <w:tcW w:w="523" w:type="pct"/>
            <w:tcBorders>
              <w:top w:val="nil"/>
              <w:left w:val="nil"/>
              <w:bottom w:val="single" w:color="auto" w:sz="4" w:space="0"/>
              <w:right w:val="single" w:color="auto" w:sz="4" w:space="0"/>
            </w:tcBorders>
            <w:shd w:val="clear" w:color="000000" w:fill="FFFFFF"/>
            <w:noWrap w:val="0"/>
            <w:vAlign w:val="center"/>
          </w:tcPr>
          <w:p w14:paraId="1EF0DDDA">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快球支架</w:t>
            </w:r>
          </w:p>
        </w:tc>
        <w:tc>
          <w:tcPr>
            <w:tcW w:w="2153" w:type="pct"/>
            <w:tcBorders>
              <w:top w:val="nil"/>
              <w:left w:val="nil"/>
              <w:bottom w:val="single" w:color="auto" w:sz="4" w:space="0"/>
              <w:right w:val="single" w:color="auto" w:sz="4" w:space="0"/>
            </w:tcBorders>
            <w:shd w:val="clear" w:color="auto" w:fill="auto"/>
            <w:noWrap w:val="0"/>
            <w:vAlign w:val="center"/>
          </w:tcPr>
          <w:p w14:paraId="7CA4A2F3">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压铸纯铝合金材质，表面做喷塑处理</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带有安装调试口，便于穿线、接线，及后期维修</w:t>
            </w:r>
          </w:p>
        </w:tc>
        <w:tc>
          <w:tcPr>
            <w:tcW w:w="725" w:type="pct"/>
            <w:tcBorders>
              <w:top w:val="nil"/>
              <w:left w:val="nil"/>
              <w:bottom w:val="single" w:color="auto" w:sz="4" w:space="0"/>
              <w:right w:val="single" w:color="auto" w:sz="4" w:space="0"/>
            </w:tcBorders>
            <w:shd w:val="clear" w:color="auto" w:fill="auto"/>
            <w:noWrap w:val="0"/>
            <w:vAlign w:val="center"/>
          </w:tcPr>
          <w:p w14:paraId="356CBF2A">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海康威视DS-1602ZJ</w:t>
            </w:r>
          </w:p>
        </w:tc>
        <w:tc>
          <w:tcPr>
            <w:tcW w:w="299" w:type="pct"/>
            <w:tcBorders>
              <w:top w:val="nil"/>
              <w:left w:val="nil"/>
              <w:bottom w:val="single" w:color="auto" w:sz="4" w:space="0"/>
              <w:right w:val="single" w:color="auto" w:sz="4" w:space="0"/>
            </w:tcBorders>
            <w:shd w:val="clear" w:color="auto" w:fill="auto"/>
            <w:noWrap w:val="0"/>
            <w:vAlign w:val="center"/>
          </w:tcPr>
          <w:p w14:paraId="6C5B6075">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7</w:t>
            </w:r>
          </w:p>
        </w:tc>
        <w:tc>
          <w:tcPr>
            <w:tcW w:w="321" w:type="pct"/>
            <w:tcBorders>
              <w:top w:val="nil"/>
              <w:left w:val="nil"/>
              <w:bottom w:val="single" w:color="auto" w:sz="4" w:space="0"/>
              <w:right w:val="single" w:color="auto" w:sz="4" w:space="0"/>
            </w:tcBorders>
            <w:shd w:val="clear" w:color="000000" w:fill="FFFFFF"/>
            <w:noWrap/>
            <w:vAlign w:val="center"/>
          </w:tcPr>
          <w:p w14:paraId="08005A0F">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个</w:t>
            </w:r>
          </w:p>
        </w:tc>
      </w:tr>
      <w:tr w14:paraId="2BFBD702">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shd w:val="clear" w:color="auto" w:fill="auto"/>
            <w:noWrap w:val="0"/>
            <w:vAlign w:val="center"/>
          </w:tcPr>
          <w:p w14:paraId="5C878CEC">
            <w:pPr>
              <w:widowControl/>
              <w:spacing w:line="400" w:lineRule="exact"/>
              <w:jc w:val="left"/>
              <w:rPr>
                <w:rFonts w:ascii="仿宋_GB2312" w:hAnsi="等线" w:eastAsia="仿宋_GB2312" w:cs="宋体"/>
                <w:color w:val="000000"/>
                <w:kern w:val="0"/>
                <w:szCs w:val="21"/>
              </w:rPr>
            </w:pPr>
          </w:p>
        </w:tc>
        <w:tc>
          <w:tcPr>
            <w:tcW w:w="588"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A5BD7CA">
            <w:pPr>
              <w:widowControl/>
              <w:spacing w:line="400" w:lineRule="exact"/>
              <w:jc w:val="left"/>
              <w:rPr>
                <w:rFonts w:ascii="仿宋_GB2312" w:hAnsi="等线" w:eastAsia="仿宋_GB2312" w:cs="宋体"/>
                <w:color w:val="000000"/>
                <w:kern w:val="0"/>
                <w:szCs w:val="21"/>
              </w:rPr>
            </w:pPr>
          </w:p>
        </w:tc>
        <w:tc>
          <w:tcPr>
            <w:tcW w:w="523" w:type="pct"/>
            <w:tcBorders>
              <w:top w:val="nil"/>
              <w:left w:val="nil"/>
              <w:bottom w:val="single" w:color="auto" w:sz="4" w:space="0"/>
              <w:right w:val="single" w:color="auto" w:sz="4" w:space="0"/>
            </w:tcBorders>
            <w:shd w:val="clear" w:color="000000" w:fill="FFFFFF"/>
            <w:noWrap w:val="0"/>
            <w:vAlign w:val="center"/>
          </w:tcPr>
          <w:p w14:paraId="3BCAF764">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摄像机支架</w:t>
            </w:r>
          </w:p>
        </w:tc>
        <w:tc>
          <w:tcPr>
            <w:tcW w:w="2153" w:type="pct"/>
            <w:tcBorders>
              <w:top w:val="nil"/>
              <w:left w:val="nil"/>
              <w:bottom w:val="single" w:color="auto" w:sz="4" w:space="0"/>
              <w:right w:val="single" w:color="auto" w:sz="4" w:space="0"/>
            </w:tcBorders>
            <w:shd w:val="clear" w:color="auto" w:fill="auto"/>
            <w:noWrap w:val="0"/>
            <w:vAlign w:val="center"/>
          </w:tcPr>
          <w:p w14:paraId="4729A65B">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金属壁装支架</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压铸纯铝合金材质，表面做喷塑处理</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支架带出线孔，安装更加美观</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摄像机安装座表面有海绵垫，保证和摄像机底座结合更紧密</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摄像机安装座表面有海绵垫，保证和摄像机底座结合更紧密</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摄像机安装座可旋转，方便摄像机角度调整</w:t>
            </w:r>
          </w:p>
        </w:tc>
        <w:tc>
          <w:tcPr>
            <w:tcW w:w="725" w:type="pct"/>
            <w:tcBorders>
              <w:top w:val="nil"/>
              <w:left w:val="nil"/>
              <w:bottom w:val="single" w:color="auto" w:sz="4" w:space="0"/>
              <w:right w:val="single" w:color="auto" w:sz="4" w:space="0"/>
            </w:tcBorders>
            <w:shd w:val="clear" w:color="auto" w:fill="auto"/>
            <w:noWrap w:val="0"/>
            <w:vAlign w:val="center"/>
          </w:tcPr>
          <w:p w14:paraId="2ACDAF07">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国产专用</w:t>
            </w:r>
          </w:p>
        </w:tc>
        <w:tc>
          <w:tcPr>
            <w:tcW w:w="299" w:type="pct"/>
            <w:tcBorders>
              <w:top w:val="nil"/>
              <w:left w:val="nil"/>
              <w:bottom w:val="single" w:color="auto" w:sz="4" w:space="0"/>
              <w:right w:val="single" w:color="auto" w:sz="4" w:space="0"/>
            </w:tcBorders>
            <w:shd w:val="clear" w:color="auto" w:fill="auto"/>
            <w:noWrap w:val="0"/>
            <w:vAlign w:val="center"/>
          </w:tcPr>
          <w:p w14:paraId="4DDB0351">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88</w:t>
            </w:r>
          </w:p>
        </w:tc>
        <w:tc>
          <w:tcPr>
            <w:tcW w:w="321" w:type="pct"/>
            <w:tcBorders>
              <w:top w:val="nil"/>
              <w:left w:val="nil"/>
              <w:bottom w:val="single" w:color="auto" w:sz="4" w:space="0"/>
              <w:right w:val="single" w:color="auto" w:sz="4" w:space="0"/>
            </w:tcBorders>
            <w:shd w:val="clear" w:color="000000" w:fill="FFFFFF"/>
            <w:noWrap/>
            <w:vAlign w:val="center"/>
          </w:tcPr>
          <w:p w14:paraId="6A5CF845">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个</w:t>
            </w:r>
          </w:p>
        </w:tc>
      </w:tr>
      <w:tr w14:paraId="6123AD45">
        <w:tblPrEx>
          <w:tblCellMar>
            <w:top w:w="0" w:type="dxa"/>
            <w:left w:w="108" w:type="dxa"/>
            <w:bottom w:w="0" w:type="dxa"/>
            <w:right w:w="108" w:type="dxa"/>
          </w:tblCellMar>
        </w:tblPrEx>
        <w:trPr>
          <w:trHeight w:val="20" w:hRule="atLeast"/>
        </w:trPr>
        <w:tc>
          <w:tcPr>
            <w:tcW w:w="391"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62250683">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2</w:t>
            </w:r>
          </w:p>
        </w:tc>
        <w:tc>
          <w:tcPr>
            <w:tcW w:w="588"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3ADAEDD3">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网络设备</w:t>
            </w:r>
          </w:p>
        </w:tc>
        <w:tc>
          <w:tcPr>
            <w:tcW w:w="523" w:type="pct"/>
            <w:tcBorders>
              <w:top w:val="nil"/>
              <w:left w:val="nil"/>
              <w:bottom w:val="single" w:color="auto" w:sz="4" w:space="0"/>
              <w:right w:val="single" w:color="auto" w:sz="4" w:space="0"/>
            </w:tcBorders>
            <w:shd w:val="clear" w:color="000000" w:fill="FFFFFF"/>
            <w:noWrap w:val="0"/>
            <w:vAlign w:val="center"/>
          </w:tcPr>
          <w:p w14:paraId="35958FFD">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无线网桥</w:t>
            </w:r>
          </w:p>
        </w:tc>
        <w:tc>
          <w:tcPr>
            <w:tcW w:w="2153" w:type="pct"/>
            <w:tcBorders>
              <w:top w:val="nil"/>
              <w:left w:val="nil"/>
              <w:bottom w:val="single" w:color="auto" w:sz="4" w:space="0"/>
              <w:right w:val="single" w:color="auto" w:sz="4" w:space="0"/>
            </w:tcBorders>
            <w:shd w:val="clear" w:color="auto" w:fill="auto"/>
            <w:noWrap w:val="0"/>
            <w:vAlign w:val="center"/>
          </w:tcPr>
          <w:p w14:paraId="318B0312">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2.4GHz 200米电梯网桥</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安全：智能识别终端 终端准入管控</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可靠：无线抗干扰 故障可自愈</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智简：APP、客户端统一管理 拓扑可视化、智能运维</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成对包装，免配置</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传输稳定不卡顿</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网络协议：NTP（网络校时）;SADP（自动搜索 IP 地址）;HTTPS（Web管理）;SSH（调试）</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LED指示灯：PWR电源指示灯;LAN口指示灯;信号强度指示灯</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设备维护：支持WEB、客户端和APP管理，支持Syslog和控制台信息,支持终端识别、终端准入</w:t>
            </w:r>
          </w:p>
        </w:tc>
        <w:tc>
          <w:tcPr>
            <w:tcW w:w="725" w:type="pct"/>
            <w:tcBorders>
              <w:top w:val="nil"/>
              <w:left w:val="nil"/>
              <w:bottom w:val="single" w:color="auto" w:sz="4" w:space="0"/>
              <w:right w:val="single" w:color="auto" w:sz="4" w:space="0"/>
            </w:tcBorders>
            <w:shd w:val="clear" w:color="auto" w:fill="auto"/>
            <w:noWrap w:val="0"/>
            <w:vAlign w:val="center"/>
          </w:tcPr>
          <w:p w14:paraId="3F334498">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海康威视DS-3WF-E200</w:t>
            </w:r>
          </w:p>
        </w:tc>
        <w:tc>
          <w:tcPr>
            <w:tcW w:w="299" w:type="pct"/>
            <w:tcBorders>
              <w:top w:val="nil"/>
              <w:left w:val="nil"/>
              <w:bottom w:val="single" w:color="auto" w:sz="4" w:space="0"/>
              <w:right w:val="single" w:color="auto" w:sz="4" w:space="0"/>
            </w:tcBorders>
            <w:shd w:val="clear" w:color="auto" w:fill="auto"/>
            <w:noWrap w:val="0"/>
            <w:vAlign w:val="center"/>
          </w:tcPr>
          <w:p w14:paraId="2A8B12A5">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2</w:t>
            </w:r>
          </w:p>
        </w:tc>
        <w:tc>
          <w:tcPr>
            <w:tcW w:w="321" w:type="pct"/>
            <w:tcBorders>
              <w:top w:val="nil"/>
              <w:left w:val="nil"/>
              <w:bottom w:val="single" w:color="auto" w:sz="4" w:space="0"/>
              <w:right w:val="single" w:color="auto" w:sz="4" w:space="0"/>
            </w:tcBorders>
            <w:shd w:val="clear" w:color="000000" w:fill="FFFFFF"/>
            <w:noWrap/>
            <w:vAlign w:val="center"/>
          </w:tcPr>
          <w:p w14:paraId="47476BD8">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台</w:t>
            </w:r>
          </w:p>
        </w:tc>
      </w:tr>
      <w:tr w14:paraId="020C1719">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shd w:val="clear" w:color="auto" w:fill="auto"/>
            <w:noWrap w:val="0"/>
            <w:vAlign w:val="center"/>
          </w:tcPr>
          <w:p w14:paraId="1CFD8012">
            <w:pPr>
              <w:widowControl/>
              <w:spacing w:line="400" w:lineRule="exact"/>
              <w:jc w:val="left"/>
              <w:rPr>
                <w:rFonts w:ascii="仿宋_GB2312" w:hAnsi="等线" w:eastAsia="仿宋_GB2312" w:cs="宋体"/>
                <w:color w:val="000000"/>
                <w:kern w:val="0"/>
                <w:szCs w:val="21"/>
              </w:rPr>
            </w:pPr>
          </w:p>
        </w:tc>
        <w:tc>
          <w:tcPr>
            <w:tcW w:w="588" w:type="pct"/>
            <w:vMerge w:val="continue"/>
            <w:tcBorders>
              <w:top w:val="nil"/>
              <w:left w:val="single" w:color="auto" w:sz="4" w:space="0"/>
              <w:bottom w:val="single" w:color="auto" w:sz="4" w:space="0"/>
              <w:right w:val="single" w:color="auto" w:sz="4" w:space="0"/>
            </w:tcBorders>
            <w:shd w:val="clear" w:color="auto" w:fill="auto"/>
            <w:noWrap w:val="0"/>
            <w:vAlign w:val="center"/>
          </w:tcPr>
          <w:p w14:paraId="4CA47E5D">
            <w:pPr>
              <w:widowControl/>
              <w:spacing w:line="400" w:lineRule="exact"/>
              <w:jc w:val="left"/>
              <w:rPr>
                <w:rFonts w:ascii="仿宋_GB2312" w:hAnsi="等线" w:eastAsia="仿宋_GB2312" w:cs="宋体"/>
                <w:color w:val="000000"/>
                <w:kern w:val="0"/>
                <w:szCs w:val="21"/>
              </w:rPr>
            </w:pPr>
          </w:p>
        </w:tc>
        <w:tc>
          <w:tcPr>
            <w:tcW w:w="523" w:type="pct"/>
            <w:tcBorders>
              <w:top w:val="nil"/>
              <w:left w:val="nil"/>
              <w:bottom w:val="single" w:color="auto" w:sz="4" w:space="0"/>
              <w:right w:val="single" w:color="auto" w:sz="4" w:space="0"/>
            </w:tcBorders>
            <w:shd w:val="clear" w:color="000000" w:fill="FFFFFF"/>
            <w:noWrap w:val="0"/>
            <w:vAlign w:val="center"/>
          </w:tcPr>
          <w:p w14:paraId="49CCDCE9">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POE交换机</w:t>
            </w:r>
          </w:p>
        </w:tc>
        <w:tc>
          <w:tcPr>
            <w:tcW w:w="2153" w:type="pct"/>
            <w:tcBorders>
              <w:top w:val="nil"/>
              <w:left w:val="nil"/>
              <w:bottom w:val="single" w:color="auto" w:sz="4" w:space="0"/>
              <w:right w:val="single" w:color="auto" w:sz="4" w:space="0"/>
            </w:tcBorders>
            <w:shd w:val="clear" w:color="auto" w:fill="auto"/>
            <w:noWrap w:val="0"/>
            <w:vAlign w:val="center"/>
          </w:tcPr>
          <w:p w14:paraId="26970D0F">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提供8个千兆PoE电口</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交换容量：16 Gbps</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包转发率：11.91 Mpps</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支持IEEE 802.3at/af</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端口最大供电功率：30 W</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整机最大供电功率：110 W</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供电方式：48 VDC，2.5 A</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安装方式：桌面式</w:t>
            </w:r>
          </w:p>
        </w:tc>
        <w:tc>
          <w:tcPr>
            <w:tcW w:w="725" w:type="pct"/>
            <w:tcBorders>
              <w:top w:val="nil"/>
              <w:left w:val="nil"/>
              <w:bottom w:val="single" w:color="auto" w:sz="4" w:space="0"/>
              <w:right w:val="single" w:color="auto" w:sz="4" w:space="0"/>
            </w:tcBorders>
            <w:shd w:val="clear" w:color="auto" w:fill="auto"/>
            <w:noWrap w:val="0"/>
            <w:vAlign w:val="center"/>
          </w:tcPr>
          <w:p w14:paraId="45F2C660">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睿易RG-ES08G</w:t>
            </w:r>
          </w:p>
        </w:tc>
        <w:tc>
          <w:tcPr>
            <w:tcW w:w="299" w:type="pct"/>
            <w:tcBorders>
              <w:top w:val="nil"/>
              <w:left w:val="nil"/>
              <w:bottom w:val="single" w:color="auto" w:sz="4" w:space="0"/>
              <w:right w:val="single" w:color="auto" w:sz="4" w:space="0"/>
            </w:tcBorders>
            <w:shd w:val="clear" w:color="auto" w:fill="auto"/>
            <w:noWrap w:val="0"/>
            <w:vAlign w:val="center"/>
          </w:tcPr>
          <w:p w14:paraId="7AD7FB47">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15</w:t>
            </w:r>
          </w:p>
        </w:tc>
        <w:tc>
          <w:tcPr>
            <w:tcW w:w="321" w:type="pct"/>
            <w:tcBorders>
              <w:top w:val="nil"/>
              <w:left w:val="nil"/>
              <w:bottom w:val="single" w:color="auto" w:sz="4" w:space="0"/>
              <w:right w:val="single" w:color="auto" w:sz="4" w:space="0"/>
            </w:tcBorders>
            <w:shd w:val="clear" w:color="000000" w:fill="FFFFFF"/>
            <w:noWrap/>
            <w:vAlign w:val="center"/>
          </w:tcPr>
          <w:p w14:paraId="53184035">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台</w:t>
            </w:r>
          </w:p>
        </w:tc>
      </w:tr>
      <w:tr w14:paraId="21290483">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shd w:val="clear" w:color="auto" w:fill="auto"/>
            <w:noWrap w:val="0"/>
            <w:vAlign w:val="center"/>
          </w:tcPr>
          <w:p w14:paraId="77E40966">
            <w:pPr>
              <w:widowControl/>
              <w:spacing w:line="400" w:lineRule="exact"/>
              <w:jc w:val="left"/>
              <w:rPr>
                <w:rFonts w:ascii="仿宋_GB2312" w:hAnsi="等线" w:eastAsia="仿宋_GB2312" w:cs="宋体"/>
                <w:color w:val="000000"/>
                <w:kern w:val="0"/>
                <w:szCs w:val="21"/>
              </w:rPr>
            </w:pPr>
          </w:p>
        </w:tc>
        <w:tc>
          <w:tcPr>
            <w:tcW w:w="588" w:type="pct"/>
            <w:vMerge w:val="continue"/>
            <w:tcBorders>
              <w:top w:val="nil"/>
              <w:left w:val="single" w:color="auto" w:sz="4" w:space="0"/>
              <w:bottom w:val="single" w:color="auto" w:sz="4" w:space="0"/>
              <w:right w:val="single" w:color="auto" w:sz="4" w:space="0"/>
            </w:tcBorders>
            <w:shd w:val="clear" w:color="auto" w:fill="auto"/>
            <w:noWrap w:val="0"/>
            <w:vAlign w:val="center"/>
          </w:tcPr>
          <w:p w14:paraId="671F34BB">
            <w:pPr>
              <w:widowControl/>
              <w:spacing w:line="400" w:lineRule="exact"/>
              <w:jc w:val="left"/>
              <w:rPr>
                <w:rFonts w:ascii="仿宋_GB2312" w:hAnsi="等线" w:eastAsia="仿宋_GB2312" w:cs="宋体"/>
                <w:color w:val="000000"/>
                <w:kern w:val="0"/>
                <w:szCs w:val="21"/>
              </w:rPr>
            </w:pPr>
          </w:p>
        </w:tc>
        <w:tc>
          <w:tcPr>
            <w:tcW w:w="523" w:type="pct"/>
            <w:tcBorders>
              <w:top w:val="nil"/>
              <w:left w:val="nil"/>
              <w:bottom w:val="single" w:color="auto" w:sz="4" w:space="0"/>
              <w:right w:val="single" w:color="auto" w:sz="4" w:space="0"/>
            </w:tcBorders>
            <w:shd w:val="clear" w:color="000000" w:fill="FFFFFF"/>
            <w:noWrap w:val="0"/>
            <w:vAlign w:val="center"/>
          </w:tcPr>
          <w:p w14:paraId="0D5869A0">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汇聚交换机</w:t>
            </w:r>
          </w:p>
        </w:tc>
        <w:tc>
          <w:tcPr>
            <w:tcW w:w="2153" w:type="pct"/>
            <w:tcBorders>
              <w:top w:val="nil"/>
              <w:left w:val="nil"/>
              <w:bottom w:val="single" w:color="auto" w:sz="4" w:space="0"/>
              <w:right w:val="single" w:color="auto" w:sz="4" w:space="0"/>
            </w:tcBorders>
            <w:shd w:val="clear" w:color="auto" w:fill="auto"/>
            <w:noWrap w:val="0"/>
            <w:vAlign w:val="center"/>
          </w:tcPr>
          <w:p w14:paraId="48C08B10">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二层网管型千兆交换机（24千兆电+4千兆光）</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支持所有端口线速转发，满足了用户对高带宽的需求。DS-3E2528-HL交换机可以支持9台连接，形成一个逻辑上的独立实体，简化网络设备管理，同时大大降低系统扩展的成本，保护了用户投资。</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支持ARP入侵检测功能，可有效防止黑客或攻击者通过ARP报文实施日趋盛行的“ARP欺骗攻击”。支持IP Source Guard特性，防止包括MAC欺骗、IP欺骗、MAC/IP欺骗在内的非法地址仿冒，以及DoS攻击。支持端口安全特性族，可以有效防范基于MAC地址的攻击，实现基于MAC地址允许/限制流量。提供802.1X和MAC认证方式对接入的用户进行认证。通过这些功能的应用可以对接入用户的合法性进行充分的检查和控制。</w:t>
            </w:r>
          </w:p>
        </w:tc>
        <w:tc>
          <w:tcPr>
            <w:tcW w:w="725" w:type="pct"/>
            <w:tcBorders>
              <w:top w:val="nil"/>
              <w:left w:val="nil"/>
              <w:bottom w:val="single" w:color="auto" w:sz="4" w:space="0"/>
              <w:right w:val="single" w:color="auto" w:sz="4" w:space="0"/>
            </w:tcBorders>
            <w:shd w:val="clear" w:color="auto" w:fill="auto"/>
            <w:noWrap w:val="0"/>
            <w:vAlign w:val="center"/>
          </w:tcPr>
          <w:p w14:paraId="393FB46E">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海康威视DS-3E2528-HL</w:t>
            </w:r>
          </w:p>
        </w:tc>
        <w:tc>
          <w:tcPr>
            <w:tcW w:w="299" w:type="pct"/>
            <w:tcBorders>
              <w:top w:val="nil"/>
              <w:left w:val="nil"/>
              <w:bottom w:val="single" w:color="auto" w:sz="4" w:space="0"/>
              <w:right w:val="single" w:color="auto" w:sz="4" w:space="0"/>
            </w:tcBorders>
            <w:shd w:val="clear" w:color="auto" w:fill="auto"/>
            <w:noWrap w:val="0"/>
            <w:vAlign w:val="center"/>
          </w:tcPr>
          <w:p w14:paraId="536B3307">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3</w:t>
            </w:r>
          </w:p>
        </w:tc>
        <w:tc>
          <w:tcPr>
            <w:tcW w:w="321" w:type="pct"/>
            <w:tcBorders>
              <w:top w:val="nil"/>
              <w:left w:val="nil"/>
              <w:bottom w:val="single" w:color="auto" w:sz="4" w:space="0"/>
              <w:right w:val="single" w:color="auto" w:sz="4" w:space="0"/>
            </w:tcBorders>
            <w:shd w:val="clear" w:color="000000" w:fill="FFFFFF"/>
            <w:noWrap/>
            <w:vAlign w:val="center"/>
          </w:tcPr>
          <w:p w14:paraId="2F6CE1AA">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台</w:t>
            </w:r>
          </w:p>
        </w:tc>
      </w:tr>
      <w:tr w14:paraId="3D225919">
        <w:tblPrEx>
          <w:tblCellMar>
            <w:top w:w="0" w:type="dxa"/>
            <w:left w:w="108" w:type="dxa"/>
            <w:bottom w:w="0" w:type="dxa"/>
            <w:right w:w="108" w:type="dxa"/>
          </w:tblCellMar>
        </w:tblPrEx>
        <w:trPr>
          <w:trHeight w:val="20" w:hRule="atLeast"/>
        </w:trPr>
        <w:tc>
          <w:tcPr>
            <w:tcW w:w="391"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125E2C98">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3</w:t>
            </w:r>
          </w:p>
        </w:tc>
        <w:tc>
          <w:tcPr>
            <w:tcW w:w="588"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0BDAE3F5">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存储设备</w:t>
            </w:r>
          </w:p>
        </w:tc>
        <w:tc>
          <w:tcPr>
            <w:tcW w:w="523" w:type="pct"/>
            <w:tcBorders>
              <w:top w:val="nil"/>
              <w:left w:val="nil"/>
              <w:bottom w:val="single" w:color="auto" w:sz="4" w:space="0"/>
              <w:right w:val="single" w:color="auto" w:sz="4" w:space="0"/>
            </w:tcBorders>
            <w:shd w:val="clear" w:color="000000" w:fill="FFFFFF"/>
            <w:noWrap w:val="0"/>
            <w:vAlign w:val="center"/>
          </w:tcPr>
          <w:p w14:paraId="507BA006">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3盘位16路超脑</w:t>
            </w:r>
          </w:p>
        </w:tc>
        <w:tc>
          <w:tcPr>
            <w:tcW w:w="2153" w:type="pct"/>
            <w:tcBorders>
              <w:top w:val="nil"/>
              <w:left w:val="nil"/>
              <w:bottom w:val="single" w:color="auto" w:sz="4" w:space="0"/>
              <w:right w:val="single" w:color="auto" w:sz="4" w:space="0"/>
            </w:tcBorders>
            <w:shd w:val="clear" w:color="auto" w:fill="auto"/>
            <w:noWrap w:val="0"/>
            <w:vAlign w:val="center"/>
          </w:tcPr>
          <w:p w14:paraId="43C2C95D">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1U机架式3盘位嵌入式网络硬盘录像机，整机采用短机箱设计，搭载高性能电源</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存储接口：3个SATA接口，可满配20TB硬盘</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视频接口：1×HDMI，1×VGA</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网络接口：2×RJ45 10/100/1000Mbps自适应以太网口</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报警接口：4路报警输入，1路报警输出</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USB接口：1×USB 2.0，1×USB 3.0</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输入带宽：256Mbps</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输出带宽：256Mbps</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接入能力：16路H.264、H.265格式高清码流接入</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解码能力：最大支持32×1080P</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显示能力：最大支持8K+1080P异源输出</w:t>
            </w:r>
          </w:p>
        </w:tc>
        <w:tc>
          <w:tcPr>
            <w:tcW w:w="725" w:type="pct"/>
            <w:tcBorders>
              <w:top w:val="nil"/>
              <w:left w:val="nil"/>
              <w:bottom w:val="single" w:color="auto" w:sz="4" w:space="0"/>
              <w:right w:val="single" w:color="auto" w:sz="4" w:space="0"/>
            </w:tcBorders>
            <w:shd w:val="clear" w:color="000000" w:fill="FFFFFF"/>
            <w:noWrap w:val="0"/>
            <w:vAlign w:val="center"/>
          </w:tcPr>
          <w:p w14:paraId="104697DA">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海康威视DS-7616N-X3</w:t>
            </w:r>
          </w:p>
        </w:tc>
        <w:tc>
          <w:tcPr>
            <w:tcW w:w="299" w:type="pct"/>
            <w:tcBorders>
              <w:top w:val="nil"/>
              <w:left w:val="nil"/>
              <w:bottom w:val="single" w:color="auto" w:sz="4" w:space="0"/>
              <w:right w:val="single" w:color="auto" w:sz="4" w:space="0"/>
            </w:tcBorders>
            <w:shd w:val="clear" w:color="000000" w:fill="FFFFFF"/>
            <w:noWrap w:val="0"/>
            <w:vAlign w:val="center"/>
          </w:tcPr>
          <w:p w14:paraId="5030D528">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10</w:t>
            </w:r>
          </w:p>
        </w:tc>
        <w:tc>
          <w:tcPr>
            <w:tcW w:w="321" w:type="pct"/>
            <w:tcBorders>
              <w:top w:val="nil"/>
              <w:left w:val="nil"/>
              <w:bottom w:val="single" w:color="auto" w:sz="4" w:space="0"/>
              <w:right w:val="single" w:color="auto" w:sz="4" w:space="0"/>
            </w:tcBorders>
            <w:shd w:val="clear" w:color="000000" w:fill="FFFFFF"/>
            <w:noWrap w:val="0"/>
            <w:vAlign w:val="center"/>
          </w:tcPr>
          <w:p w14:paraId="5312A06C">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台</w:t>
            </w:r>
          </w:p>
        </w:tc>
      </w:tr>
      <w:tr w14:paraId="21C9EDEE">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8A59BF4">
            <w:pPr>
              <w:widowControl/>
              <w:spacing w:line="400" w:lineRule="exact"/>
              <w:jc w:val="left"/>
              <w:rPr>
                <w:rFonts w:ascii="仿宋_GB2312" w:hAnsi="等线" w:eastAsia="仿宋_GB2312" w:cs="宋体"/>
                <w:color w:val="000000"/>
                <w:kern w:val="0"/>
                <w:szCs w:val="21"/>
              </w:rPr>
            </w:pPr>
          </w:p>
        </w:tc>
        <w:tc>
          <w:tcPr>
            <w:tcW w:w="588" w:type="pct"/>
            <w:vMerge w:val="continue"/>
            <w:tcBorders>
              <w:top w:val="nil"/>
              <w:left w:val="single" w:color="auto" w:sz="4" w:space="0"/>
              <w:bottom w:val="single" w:color="auto" w:sz="4" w:space="0"/>
              <w:right w:val="single" w:color="auto" w:sz="4" w:space="0"/>
            </w:tcBorders>
            <w:shd w:val="clear" w:color="auto" w:fill="auto"/>
            <w:noWrap w:val="0"/>
            <w:vAlign w:val="center"/>
          </w:tcPr>
          <w:p w14:paraId="5BFEE04B">
            <w:pPr>
              <w:widowControl/>
              <w:spacing w:line="400" w:lineRule="exact"/>
              <w:jc w:val="left"/>
              <w:rPr>
                <w:rFonts w:ascii="仿宋_GB2312" w:hAnsi="等线" w:eastAsia="仿宋_GB2312" w:cs="宋体"/>
                <w:color w:val="000000"/>
                <w:kern w:val="0"/>
                <w:szCs w:val="21"/>
              </w:rPr>
            </w:pPr>
          </w:p>
        </w:tc>
        <w:tc>
          <w:tcPr>
            <w:tcW w:w="523" w:type="pct"/>
            <w:tcBorders>
              <w:top w:val="nil"/>
              <w:left w:val="nil"/>
              <w:bottom w:val="single" w:color="auto" w:sz="4" w:space="0"/>
              <w:right w:val="single" w:color="auto" w:sz="4" w:space="0"/>
            </w:tcBorders>
            <w:shd w:val="clear" w:color="000000" w:fill="FFFFFF"/>
            <w:noWrap w:val="0"/>
            <w:vAlign w:val="center"/>
          </w:tcPr>
          <w:p w14:paraId="24C5EFCA">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4盘位32路超脑</w:t>
            </w:r>
          </w:p>
        </w:tc>
        <w:tc>
          <w:tcPr>
            <w:tcW w:w="2153" w:type="pct"/>
            <w:tcBorders>
              <w:top w:val="nil"/>
              <w:left w:val="nil"/>
              <w:bottom w:val="single" w:color="auto" w:sz="4" w:space="0"/>
              <w:right w:val="single" w:color="auto" w:sz="4" w:space="0"/>
            </w:tcBorders>
            <w:shd w:val="clear" w:color="auto" w:fill="auto"/>
            <w:noWrap w:val="0"/>
            <w:vAlign w:val="center"/>
          </w:tcPr>
          <w:p w14:paraId="196A90A0">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2U机架式9盘位嵌入式边缘计算主机，采用存算一体架构，内置高性能AI处理器</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存储接口：9个SATA接口，支持硬盘热插拔，可满配16TB硬盘</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视频接口：2×HDMI，2×VGA</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网络接口：2×RJ45 10/100/1000Mbps自适应以太网口</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报警接口：16路报警输入，4路报警输出</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串行接口：1路RS-232接口，1路全双工RS-485接口</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USB接口：2×USB 2.0，2×USB 3.0</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扩展接口：1×eSATA</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输入带宽：320Mbps</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输出带宽：256Mbps</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接入能力：32路H.264、H.265格式高清码流接入</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解码能力：最大支持32×1080P</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显示能力：最大支持8K+1080P、2×4K异源输出</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RAID模式：RAID0、RAID1、RAID5、RAID6、RAID10，支持全局热备盘</w:t>
            </w:r>
          </w:p>
        </w:tc>
        <w:tc>
          <w:tcPr>
            <w:tcW w:w="725" w:type="pct"/>
            <w:tcBorders>
              <w:top w:val="nil"/>
              <w:left w:val="nil"/>
              <w:bottom w:val="single" w:color="auto" w:sz="4" w:space="0"/>
              <w:right w:val="single" w:color="auto" w:sz="4" w:space="0"/>
            </w:tcBorders>
            <w:shd w:val="clear" w:color="000000" w:fill="FFFFFF"/>
            <w:noWrap w:val="0"/>
            <w:vAlign w:val="center"/>
          </w:tcPr>
          <w:p w14:paraId="1538018F">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海康威视DS-2CD7A4XYZUV-ABCZL</w:t>
            </w:r>
          </w:p>
        </w:tc>
        <w:tc>
          <w:tcPr>
            <w:tcW w:w="299" w:type="pct"/>
            <w:tcBorders>
              <w:top w:val="nil"/>
              <w:left w:val="nil"/>
              <w:bottom w:val="single" w:color="auto" w:sz="4" w:space="0"/>
              <w:right w:val="single" w:color="auto" w:sz="4" w:space="0"/>
            </w:tcBorders>
            <w:shd w:val="clear" w:color="000000" w:fill="FFFFFF"/>
            <w:noWrap w:val="0"/>
            <w:vAlign w:val="center"/>
          </w:tcPr>
          <w:p w14:paraId="2E7DBE4F">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321" w:type="pct"/>
            <w:tcBorders>
              <w:top w:val="nil"/>
              <w:left w:val="nil"/>
              <w:bottom w:val="single" w:color="auto" w:sz="4" w:space="0"/>
              <w:right w:val="single" w:color="auto" w:sz="4" w:space="0"/>
            </w:tcBorders>
            <w:shd w:val="clear" w:color="000000" w:fill="FFFFFF"/>
            <w:noWrap w:val="0"/>
            <w:vAlign w:val="center"/>
          </w:tcPr>
          <w:p w14:paraId="350137DB">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台</w:t>
            </w:r>
          </w:p>
        </w:tc>
      </w:tr>
      <w:tr w14:paraId="1AF15AD8">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shd w:val="clear" w:color="auto" w:fill="auto"/>
            <w:noWrap w:val="0"/>
            <w:vAlign w:val="center"/>
          </w:tcPr>
          <w:p w14:paraId="2E66C325">
            <w:pPr>
              <w:widowControl/>
              <w:spacing w:line="400" w:lineRule="exact"/>
              <w:jc w:val="left"/>
              <w:rPr>
                <w:rFonts w:ascii="仿宋_GB2312" w:hAnsi="等线" w:eastAsia="仿宋_GB2312" w:cs="宋体"/>
                <w:color w:val="000000"/>
                <w:kern w:val="0"/>
                <w:szCs w:val="21"/>
              </w:rPr>
            </w:pPr>
          </w:p>
        </w:tc>
        <w:tc>
          <w:tcPr>
            <w:tcW w:w="588" w:type="pct"/>
            <w:vMerge w:val="continue"/>
            <w:tcBorders>
              <w:top w:val="nil"/>
              <w:left w:val="single" w:color="auto" w:sz="4" w:space="0"/>
              <w:bottom w:val="single" w:color="auto" w:sz="4" w:space="0"/>
              <w:right w:val="single" w:color="auto" w:sz="4" w:space="0"/>
            </w:tcBorders>
            <w:shd w:val="clear" w:color="auto" w:fill="auto"/>
            <w:noWrap w:val="0"/>
            <w:vAlign w:val="center"/>
          </w:tcPr>
          <w:p w14:paraId="08128416">
            <w:pPr>
              <w:widowControl/>
              <w:spacing w:line="400" w:lineRule="exact"/>
              <w:jc w:val="left"/>
              <w:rPr>
                <w:rFonts w:ascii="仿宋_GB2312" w:hAnsi="等线" w:eastAsia="仿宋_GB2312" w:cs="宋体"/>
                <w:color w:val="000000"/>
                <w:kern w:val="0"/>
                <w:szCs w:val="21"/>
              </w:rPr>
            </w:pPr>
          </w:p>
        </w:tc>
        <w:tc>
          <w:tcPr>
            <w:tcW w:w="523" w:type="pct"/>
            <w:tcBorders>
              <w:top w:val="nil"/>
              <w:left w:val="nil"/>
              <w:bottom w:val="single" w:color="auto" w:sz="4" w:space="0"/>
              <w:right w:val="single" w:color="auto" w:sz="4" w:space="0"/>
            </w:tcBorders>
            <w:shd w:val="clear" w:color="000000" w:fill="FFFFFF"/>
            <w:noWrap w:val="0"/>
            <w:vAlign w:val="center"/>
          </w:tcPr>
          <w:p w14:paraId="411FBA4B">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视频存储</w:t>
            </w:r>
          </w:p>
        </w:tc>
        <w:tc>
          <w:tcPr>
            <w:tcW w:w="2153" w:type="pct"/>
            <w:tcBorders>
              <w:top w:val="nil"/>
              <w:left w:val="nil"/>
              <w:bottom w:val="single" w:color="auto" w:sz="4" w:space="0"/>
              <w:right w:val="single" w:color="auto" w:sz="4" w:space="0"/>
            </w:tcBorders>
            <w:shd w:val="clear" w:color="auto" w:fill="auto"/>
            <w:noWrap w:val="0"/>
            <w:vAlign w:val="center"/>
          </w:tcPr>
          <w:p w14:paraId="69BB98B2">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4U 24盘位，机架式网络存储设备</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视频性能：最大支持接入350路（最大接入带宽700Mbps）</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支持视频流直写</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支持ONVIF、GB/T 28181、RTSP等标准协议</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支持VRAID、RAID0、1、5、6、10、50等多种RAID模式</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支持一键配置（VRAID模式），可快速部署阵列和存储池</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支持局部重构，原盘或其克隆盘拔出设备后再插回，未被覆盖数据可快速恢复</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支持视频检索功能，按照监控点编号、录像类型、时间组合等条件查询</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支持视频回放功能：正序回放、定位回放、倍速回放等功能</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支持按需取流功能，未处于录像计划时间内的通道不占用网络带宽</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支持运维总览展示，可快速定位设备异常情况</w:t>
            </w:r>
          </w:p>
        </w:tc>
        <w:tc>
          <w:tcPr>
            <w:tcW w:w="725" w:type="pct"/>
            <w:tcBorders>
              <w:top w:val="nil"/>
              <w:left w:val="nil"/>
              <w:bottom w:val="single" w:color="auto" w:sz="4" w:space="0"/>
              <w:right w:val="single" w:color="auto" w:sz="4" w:space="0"/>
            </w:tcBorders>
            <w:shd w:val="clear" w:color="auto" w:fill="auto"/>
            <w:noWrap w:val="0"/>
            <w:vAlign w:val="center"/>
          </w:tcPr>
          <w:p w14:paraId="2B047F5E">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海康威视DS-A70224R</w:t>
            </w:r>
          </w:p>
        </w:tc>
        <w:tc>
          <w:tcPr>
            <w:tcW w:w="299" w:type="pct"/>
            <w:tcBorders>
              <w:top w:val="nil"/>
              <w:left w:val="nil"/>
              <w:bottom w:val="single" w:color="auto" w:sz="4" w:space="0"/>
              <w:right w:val="single" w:color="auto" w:sz="4" w:space="0"/>
            </w:tcBorders>
            <w:shd w:val="clear" w:color="auto" w:fill="auto"/>
            <w:noWrap w:val="0"/>
            <w:vAlign w:val="center"/>
          </w:tcPr>
          <w:p w14:paraId="409578AE">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321" w:type="pct"/>
            <w:tcBorders>
              <w:top w:val="nil"/>
              <w:left w:val="nil"/>
              <w:bottom w:val="single" w:color="auto" w:sz="4" w:space="0"/>
              <w:right w:val="single" w:color="auto" w:sz="4" w:space="0"/>
            </w:tcBorders>
            <w:shd w:val="clear" w:color="000000" w:fill="FFFFFF"/>
            <w:noWrap w:val="0"/>
            <w:vAlign w:val="center"/>
          </w:tcPr>
          <w:p w14:paraId="4467DA20">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台</w:t>
            </w:r>
          </w:p>
        </w:tc>
      </w:tr>
      <w:tr w14:paraId="324AAAD6">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shd w:val="clear" w:color="auto" w:fill="auto"/>
            <w:noWrap w:val="0"/>
            <w:vAlign w:val="center"/>
          </w:tcPr>
          <w:p w14:paraId="7032593F">
            <w:pPr>
              <w:widowControl/>
              <w:spacing w:line="400" w:lineRule="exact"/>
              <w:jc w:val="left"/>
              <w:rPr>
                <w:rFonts w:ascii="仿宋_GB2312" w:hAnsi="等线" w:eastAsia="仿宋_GB2312" w:cs="宋体"/>
                <w:color w:val="000000"/>
                <w:kern w:val="0"/>
                <w:szCs w:val="21"/>
              </w:rPr>
            </w:pPr>
          </w:p>
        </w:tc>
        <w:tc>
          <w:tcPr>
            <w:tcW w:w="588" w:type="pct"/>
            <w:vMerge w:val="continue"/>
            <w:tcBorders>
              <w:top w:val="nil"/>
              <w:left w:val="single" w:color="auto" w:sz="4" w:space="0"/>
              <w:bottom w:val="single" w:color="auto" w:sz="4" w:space="0"/>
              <w:right w:val="single" w:color="auto" w:sz="4" w:space="0"/>
            </w:tcBorders>
            <w:shd w:val="clear" w:color="auto" w:fill="auto"/>
            <w:noWrap w:val="0"/>
            <w:vAlign w:val="center"/>
          </w:tcPr>
          <w:p w14:paraId="6DBAEE24">
            <w:pPr>
              <w:widowControl/>
              <w:spacing w:line="400" w:lineRule="exact"/>
              <w:jc w:val="left"/>
              <w:rPr>
                <w:rFonts w:ascii="仿宋_GB2312" w:hAnsi="等线" w:eastAsia="仿宋_GB2312" w:cs="宋体"/>
                <w:color w:val="000000"/>
                <w:kern w:val="0"/>
                <w:szCs w:val="21"/>
              </w:rPr>
            </w:pPr>
          </w:p>
        </w:tc>
        <w:tc>
          <w:tcPr>
            <w:tcW w:w="523" w:type="pct"/>
            <w:tcBorders>
              <w:top w:val="nil"/>
              <w:left w:val="nil"/>
              <w:bottom w:val="single" w:color="auto" w:sz="4" w:space="0"/>
              <w:right w:val="single" w:color="auto" w:sz="4" w:space="0"/>
            </w:tcBorders>
            <w:shd w:val="clear" w:color="000000" w:fill="FFFFFF"/>
            <w:noWrap w:val="0"/>
            <w:vAlign w:val="center"/>
          </w:tcPr>
          <w:p w14:paraId="22C06243">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4T硬盘</w:t>
            </w:r>
          </w:p>
        </w:tc>
        <w:tc>
          <w:tcPr>
            <w:tcW w:w="2153" w:type="pct"/>
            <w:tcBorders>
              <w:top w:val="nil"/>
              <w:left w:val="nil"/>
              <w:bottom w:val="single" w:color="auto" w:sz="4" w:space="0"/>
              <w:right w:val="single" w:color="auto" w:sz="4" w:space="0"/>
            </w:tcBorders>
            <w:shd w:val="clear" w:color="auto" w:fill="auto"/>
            <w:noWrap w:val="0"/>
            <w:vAlign w:val="center"/>
          </w:tcPr>
          <w:p w14:paraId="55E8CF27">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4TB容量，3.5英寸，SATA3.0接口，5400RPM</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传输速率176.4 MiB/s，流畅存储视频有效防止丢帧</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高级格式（AF）512e扇区技术，保障硬盘扇区4K对齐</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满足数据严苛的7*24小时运行可靠性、安全性的需求</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支持3年有限质保服务</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适用海拔高度范围-305m至3050m</w:t>
            </w:r>
          </w:p>
        </w:tc>
        <w:tc>
          <w:tcPr>
            <w:tcW w:w="725" w:type="pct"/>
            <w:tcBorders>
              <w:top w:val="nil"/>
              <w:left w:val="nil"/>
              <w:bottom w:val="single" w:color="auto" w:sz="4" w:space="0"/>
              <w:right w:val="single" w:color="auto" w:sz="4" w:space="0"/>
            </w:tcBorders>
            <w:shd w:val="clear" w:color="auto" w:fill="auto"/>
            <w:noWrap w:val="0"/>
            <w:vAlign w:val="center"/>
          </w:tcPr>
          <w:p w14:paraId="4A93EEF4">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希捷</w:t>
            </w:r>
          </w:p>
        </w:tc>
        <w:tc>
          <w:tcPr>
            <w:tcW w:w="299" w:type="pct"/>
            <w:tcBorders>
              <w:top w:val="nil"/>
              <w:left w:val="nil"/>
              <w:bottom w:val="single" w:color="auto" w:sz="4" w:space="0"/>
              <w:right w:val="single" w:color="auto" w:sz="4" w:space="0"/>
            </w:tcBorders>
            <w:shd w:val="clear" w:color="auto" w:fill="auto"/>
            <w:noWrap w:val="0"/>
            <w:vAlign w:val="center"/>
          </w:tcPr>
          <w:p w14:paraId="08C54DAD">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5</w:t>
            </w:r>
          </w:p>
        </w:tc>
        <w:tc>
          <w:tcPr>
            <w:tcW w:w="321" w:type="pct"/>
            <w:tcBorders>
              <w:top w:val="nil"/>
              <w:left w:val="nil"/>
              <w:bottom w:val="single" w:color="auto" w:sz="4" w:space="0"/>
              <w:right w:val="single" w:color="auto" w:sz="4" w:space="0"/>
            </w:tcBorders>
            <w:shd w:val="clear" w:color="000000" w:fill="FFFFFF"/>
            <w:noWrap/>
            <w:vAlign w:val="center"/>
          </w:tcPr>
          <w:p w14:paraId="372DF4E4">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块</w:t>
            </w:r>
          </w:p>
        </w:tc>
      </w:tr>
      <w:tr w14:paraId="634AE155">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shd w:val="clear" w:color="auto" w:fill="auto"/>
            <w:noWrap w:val="0"/>
            <w:vAlign w:val="center"/>
          </w:tcPr>
          <w:p w14:paraId="7FF26B63">
            <w:pPr>
              <w:widowControl/>
              <w:spacing w:line="400" w:lineRule="exact"/>
              <w:jc w:val="left"/>
              <w:rPr>
                <w:rFonts w:ascii="仿宋_GB2312" w:hAnsi="等线" w:eastAsia="仿宋_GB2312" w:cs="宋体"/>
                <w:color w:val="000000"/>
                <w:kern w:val="0"/>
                <w:szCs w:val="21"/>
              </w:rPr>
            </w:pPr>
          </w:p>
        </w:tc>
        <w:tc>
          <w:tcPr>
            <w:tcW w:w="588" w:type="pct"/>
            <w:vMerge w:val="continue"/>
            <w:tcBorders>
              <w:top w:val="nil"/>
              <w:left w:val="single" w:color="auto" w:sz="4" w:space="0"/>
              <w:bottom w:val="single" w:color="auto" w:sz="4" w:space="0"/>
              <w:right w:val="single" w:color="auto" w:sz="4" w:space="0"/>
            </w:tcBorders>
            <w:shd w:val="clear" w:color="auto" w:fill="auto"/>
            <w:noWrap w:val="0"/>
            <w:vAlign w:val="center"/>
          </w:tcPr>
          <w:p w14:paraId="4568DD7D">
            <w:pPr>
              <w:widowControl/>
              <w:spacing w:line="400" w:lineRule="exact"/>
              <w:jc w:val="left"/>
              <w:rPr>
                <w:rFonts w:ascii="仿宋_GB2312" w:hAnsi="等线" w:eastAsia="仿宋_GB2312" w:cs="宋体"/>
                <w:color w:val="000000"/>
                <w:kern w:val="0"/>
                <w:szCs w:val="21"/>
              </w:rPr>
            </w:pPr>
          </w:p>
        </w:tc>
        <w:tc>
          <w:tcPr>
            <w:tcW w:w="523" w:type="pct"/>
            <w:tcBorders>
              <w:top w:val="nil"/>
              <w:left w:val="nil"/>
              <w:bottom w:val="single" w:color="auto" w:sz="4" w:space="0"/>
              <w:right w:val="single" w:color="auto" w:sz="4" w:space="0"/>
            </w:tcBorders>
            <w:shd w:val="clear" w:color="000000" w:fill="FFFFFF"/>
            <w:noWrap w:val="0"/>
            <w:vAlign w:val="center"/>
          </w:tcPr>
          <w:p w14:paraId="1B26129B">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8T硬盘</w:t>
            </w:r>
          </w:p>
        </w:tc>
        <w:tc>
          <w:tcPr>
            <w:tcW w:w="2153" w:type="pct"/>
            <w:tcBorders>
              <w:top w:val="nil"/>
              <w:left w:val="nil"/>
              <w:bottom w:val="single" w:color="auto" w:sz="4" w:space="0"/>
              <w:right w:val="single" w:color="auto" w:sz="4" w:space="0"/>
            </w:tcBorders>
            <w:shd w:val="clear" w:color="auto" w:fill="auto"/>
            <w:noWrap w:val="0"/>
            <w:vAlign w:val="center"/>
          </w:tcPr>
          <w:p w14:paraId="68CC08B6">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8TB容量，3.5英寸，SATA3.0接口，7200RPM</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空气盘， CMR传统磁记录</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传输速率255 MB/s，流畅存储视频有效防止丢帧</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高级格式（AF）512e扇区技术，保障硬盘扇区4K对齐</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满足数据严苛的7*24小时运行可靠性、安全性的需求</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支持5年有限质保服务</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适用海拔高度范围-305m至3050m</w:t>
            </w:r>
          </w:p>
        </w:tc>
        <w:tc>
          <w:tcPr>
            <w:tcW w:w="725" w:type="pct"/>
            <w:tcBorders>
              <w:top w:val="nil"/>
              <w:left w:val="nil"/>
              <w:bottom w:val="single" w:color="auto" w:sz="4" w:space="0"/>
              <w:right w:val="single" w:color="auto" w:sz="4" w:space="0"/>
            </w:tcBorders>
            <w:shd w:val="clear" w:color="auto" w:fill="auto"/>
            <w:noWrap w:val="0"/>
            <w:vAlign w:val="center"/>
          </w:tcPr>
          <w:p w14:paraId="6104342D">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希捷</w:t>
            </w:r>
          </w:p>
        </w:tc>
        <w:tc>
          <w:tcPr>
            <w:tcW w:w="299" w:type="pct"/>
            <w:tcBorders>
              <w:top w:val="nil"/>
              <w:left w:val="nil"/>
              <w:bottom w:val="single" w:color="auto" w:sz="4" w:space="0"/>
              <w:right w:val="single" w:color="auto" w:sz="4" w:space="0"/>
            </w:tcBorders>
            <w:shd w:val="clear" w:color="auto" w:fill="auto"/>
            <w:noWrap w:val="0"/>
            <w:vAlign w:val="center"/>
          </w:tcPr>
          <w:p w14:paraId="6DEF6F96">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28</w:t>
            </w:r>
          </w:p>
        </w:tc>
        <w:tc>
          <w:tcPr>
            <w:tcW w:w="321" w:type="pct"/>
            <w:tcBorders>
              <w:top w:val="nil"/>
              <w:left w:val="nil"/>
              <w:bottom w:val="single" w:color="auto" w:sz="4" w:space="0"/>
              <w:right w:val="single" w:color="auto" w:sz="4" w:space="0"/>
            </w:tcBorders>
            <w:shd w:val="clear" w:color="000000" w:fill="FFFFFF"/>
            <w:noWrap w:val="0"/>
            <w:vAlign w:val="center"/>
          </w:tcPr>
          <w:p w14:paraId="37D99013">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块</w:t>
            </w:r>
          </w:p>
        </w:tc>
      </w:tr>
      <w:tr w14:paraId="51519AF7">
        <w:tblPrEx>
          <w:tblCellMar>
            <w:top w:w="0" w:type="dxa"/>
            <w:left w:w="108" w:type="dxa"/>
            <w:bottom w:w="0" w:type="dxa"/>
            <w:right w:w="108" w:type="dxa"/>
          </w:tblCellMar>
        </w:tblPrEx>
        <w:trPr>
          <w:trHeight w:val="20" w:hRule="atLeast"/>
        </w:trPr>
        <w:tc>
          <w:tcPr>
            <w:tcW w:w="391"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0E670B7A">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4</w:t>
            </w:r>
          </w:p>
        </w:tc>
        <w:tc>
          <w:tcPr>
            <w:tcW w:w="588"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0E1292A5">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监控配套设备</w:t>
            </w:r>
          </w:p>
        </w:tc>
        <w:tc>
          <w:tcPr>
            <w:tcW w:w="523" w:type="pct"/>
            <w:tcBorders>
              <w:top w:val="nil"/>
              <w:left w:val="nil"/>
              <w:bottom w:val="single" w:color="auto" w:sz="4" w:space="0"/>
              <w:right w:val="single" w:color="auto" w:sz="4" w:space="0"/>
            </w:tcBorders>
            <w:shd w:val="clear" w:color="000000" w:fill="FFFFFF"/>
            <w:noWrap w:val="0"/>
            <w:vAlign w:val="center"/>
          </w:tcPr>
          <w:p w14:paraId="6792CACC">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监视器</w:t>
            </w:r>
          </w:p>
        </w:tc>
        <w:tc>
          <w:tcPr>
            <w:tcW w:w="2153" w:type="pct"/>
            <w:tcBorders>
              <w:top w:val="nil"/>
              <w:left w:val="nil"/>
              <w:bottom w:val="single" w:color="auto" w:sz="4" w:space="0"/>
              <w:right w:val="single" w:color="auto" w:sz="4" w:space="0"/>
            </w:tcBorders>
            <w:shd w:val="clear" w:color="auto" w:fill="auto"/>
            <w:noWrap w:val="0"/>
            <w:vAlign w:val="center"/>
          </w:tcPr>
          <w:p w14:paraId="69B8C52C">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尺寸：27寸</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材质：塑壳</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分辨率：1920 × 1080</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刷新率：60Hz</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视角：178°/ 178°</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标配喇叭</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采用最新3D画质数字处理电路技术</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极速响应时间，画面无拖尾</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HDMI+VGA双接口，丰富连接性和兼容性</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自动唤醒功能，接入信号屏幕自动点亮</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高亮LED背光显示设计，宽视角显示</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三边超窄边框设计，纤薄机身</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标配底座，预留壁挂孔位，满足不同场景使用需求</w:t>
            </w:r>
          </w:p>
        </w:tc>
        <w:tc>
          <w:tcPr>
            <w:tcW w:w="725" w:type="pct"/>
            <w:tcBorders>
              <w:top w:val="nil"/>
              <w:left w:val="nil"/>
              <w:bottom w:val="single" w:color="auto" w:sz="4" w:space="0"/>
              <w:right w:val="single" w:color="auto" w:sz="4" w:space="0"/>
            </w:tcBorders>
            <w:shd w:val="clear" w:color="auto" w:fill="auto"/>
            <w:noWrap w:val="0"/>
            <w:vAlign w:val="center"/>
          </w:tcPr>
          <w:p w14:paraId="461F544E">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天地伟业TC-D527</w:t>
            </w:r>
          </w:p>
        </w:tc>
        <w:tc>
          <w:tcPr>
            <w:tcW w:w="299" w:type="pct"/>
            <w:tcBorders>
              <w:top w:val="nil"/>
              <w:left w:val="nil"/>
              <w:bottom w:val="single" w:color="auto" w:sz="4" w:space="0"/>
              <w:right w:val="single" w:color="auto" w:sz="4" w:space="0"/>
            </w:tcBorders>
            <w:shd w:val="clear" w:color="auto" w:fill="auto"/>
            <w:noWrap w:val="0"/>
            <w:vAlign w:val="center"/>
          </w:tcPr>
          <w:p w14:paraId="5313BD2B">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12</w:t>
            </w:r>
          </w:p>
        </w:tc>
        <w:tc>
          <w:tcPr>
            <w:tcW w:w="321" w:type="pct"/>
            <w:tcBorders>
              <w:top w:val="nil"/>
              <w:left w:val="nil"/>
              <w:bottom w:val="single" w:color="auto" w:sz="4" w:space="0"/>
              <w:right w:val="single" w:color="auto" w:sz="4" w:space="0"/>
            </w:tcBorders>
            <w:shd w:val="clear" w:color="000000" w:fill="FFFFFF"/>
            <w:noWrap/>
            <w:vAlign w:val="center"/>
          </w:tcPr>
          <w:p w14:paraId="3ED11A85">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台</w:t>
            </w:r>
          </w:p>
        </w:tc>
      </w:tr>
      <w:tr w14:paraId="6A2FBC34">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shd w:val="clear" w:color="auto" w:fill="auto"/>
            <w:noWrap w:val="0"/>
            <w:vAlign w:val="center"/>
          </w:tcPr>
          <w:p w14:paraId="2C632EE5">
            <w:pPr>
              <w:widowControl/>
              <w:spacing w:line="400" w:lineRule="exact"/>
              <w:jc w:val="left"/>
              <w:rPr>
                <w:rFonts w:ascii="仿宋_GB2312" w:hAnsi="等线" w:eastAsia="仿宋_GB2312" w:cs="宋体"/>
                <w:color w:val="000000"/>
                <w:kern w:val="0"/>
                <w:szCs w:val="21"/>
              </w:rPr>
            </w:pPr>
          </w:p>
        </w:tc>
        <w:tc>
          <w:tcPr>
            <w:tcW w:w="588" w:type="pct"/>
            <w:vMerge w:val="continue"/>
            <w:tcBorders>
              <w:top w:val="nil"/>
              <w:left w:val="single" w:color="auto" w:sz="4" w:space="0"/>
              <w:bottom w:val="single" w:color="auto" w:sz="4" w:space="0"/>
              <w:right w:val="single" w:color="auto" w:sz="4" w:space="0"/>
            </w:tcBorders>
            <w:shd w:val="clear" w:color="auto" w:fill="auto"/>
            <w:noWrap w:val="0"/>
            <w:vAlign w:val="center"/>
          </w:tcPr>
          <w:p w14:paraId="1A579425">
            <w:pPr>
              <w:widowControl/>
              <w:spacing w:line="400" w:lineRule="exact"/>
              <w:jc w:val="left"/>
              <w:rPr>
                <w:rFonts w:ascii="仿宋_GB2312" w:hAnsi="等线" w:eastAsia="仿宋_GB2312" w:cs="宋体"/>
                <w:color w:val="000000"/>
                <w:kern w:val="0"/>
                <w:szCs w:val="21"/>
              </w:rPr>
            </w:pPr>
          </w:p>
        </w:tc>
        <w:tc>
          <w:tcPr>
            <w:tcW w:w="523" w:type="pct"/>
            <w:tcBorders>
              <w:top w:val="nil"/>
              <w:left w:val="nil"/>
              <w:bottom w:val="single" w:color="auto" w:sz="4" w:space="0"/>
              <w:right w:val="single" w:color="auto" w:sz="4" w:space="0"/>
            </w:tcBorders>
            <w:shd w:val="clear" w:color="000000" w:fill="FFFFFF"/>
            <w:noWrap w:val="0"/>
            <w:vAlign w:val="center"/>
          </w:tcPr>
          <w:p w14:paraId="33EB562A">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解码器</w:t>
            </w:r>
          </w:p>
        </w:tc>
        <w:tc>
          <w:tcPr>
            <w:tcW w:w="2153" w:type="pct"/>
            <w:tcBorders>
              <w:top w:val="nil"/>
              <w:left w:val="nil"/>
              <w:bottom w:val="single" w:color="auto" w:sz="4" w:space="0"/>
              <w:right w:val="single" w:color="auto" w:sz="4" w:space="0"/>
            </w:tcBorders>
            <w:shd w:val="clear" w:color="auto" w:fill="auto"/>
            <w:noWrap w:val="0"/>
            <w:vAlign w:val="center"/>
          </w:tcPr>
          <w:p w14:paraId="09E9FE8C">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视频解码格式：H.264，H.265，Smart264，Smart265，MJPEG</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解码分辨率：最高3200W像素</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视频解码通道：160</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 xml:space="preserve">视频解码能力：H.264/H.265：支持5路3200 W，或5路2400 W，或10路1200 W，或20路800 W，或25路600W，或40路400 W，或80路1080P，或160路720P及以下分辨率实时解码（每4个输出口一组，共享解码能力） MJPEG：12路1080P及以下分辨率实时解码  </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单口画面分割数：1,2,4,6,8,9,12,16,25,36</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场景数量：64</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视频输出分辨率：3840 × 2160@30 Hz、2560 × 1440@30 Hz、1920 × 1200@60 Hz、1920 × 1080@60 Hz、1920 × 1080@50 Hz、1680 × 1050@60 Hz、1600 × 1200@60 Hz、1280 × 1024@60 Hz、1280 × 720@60 Hz、1280 × 720@50 Hz、1024 × 768@60 Hz</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视频输出接口类型：10路HDMI 1.4，支持4K</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视频输入分辨率：3840×2160@30Hz、1920×1200@60Hz、1920×1080@60Hz、1920×1080@50Hz、1280×720@60Hz、1280×720@50Hz、1600×1200@60Hz、1280×960@60Hz、1680×1050@60Hz、1440×900@60Hz、1366×768@60Hz、1280×1024@60Hz、1024×768@60Hz</w:t>
            </w:r>
          </w:p>
        </w:tc>
        <w:tc>
          <w:tcPr>
            <w:tcW w:w="725" w:type="pct"/>
            <w:tcBorders>
              <w:top w:val="nil"/>
              <w:left w:val="nil"/>
              <w:bottom w:val="single" w:color="auto" w:sz="4" w:space="0"/>
              <w:right w:val="single" w:color="auto" w:sz="4" w:space="0"/>
            </w:tcBorders>
            <w:shd w:val="clear" w:color="auto" w:fill="auto"/>
            <w:noWrap w:val="0"/>
            <w:vAlign w:val="center"/>
          </w:tcPr>
          <w:p w14:paraId="1BC8F2F0">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海康威视DS-6A10UD</w:t>
            </w:r>
          </w:p>
        </w:tc>
        <w:tc>
          <w:tcPr>
            <w:tcW w:w="299" w:type="pct"/>
            <w:tcBorders>
              <w:top w:val="nil"/>
              <w:left w:val="nil"/>
              <w:bottom w:val="single" w:color="auto" w:sz="4" w:space="0"/>
              <w:right w:val="single" w:color="auto" w:sz="4" w:space="0"/>
            </w:tcBorders>
            <w:shd w:val="clear" w:color="auto" w:fill="auto"/>
            <w:noWrap w:val="0"/>
            <w:vAlign w:val="center"/>
          </w:tcPr>
          <w:p w14:paraId="0F1A38EF">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321" w:type="pct"/>
            <w:tcBorders>
              <w:top w:val="nil"/>
              <w:left w:val="nil"/>
              <w:bottom w:val="single" w:color="auto" w:sz="4" w:space="0"/>
              <w:right w:val="single" w:color="auto" w:sz="4" w:space="0"/>
            </w:tcBorders>
            <w:shd w:val="clear" w:color="000000" w:fill="FFFFFF"/>
            <w:noWrap/>
            <w:vAlign w:val="center"/>
          </w:tcPr>
          <w:p w14:paraId="15E6AC75">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台</w:t>
            </w:r>
          </w:p>
        </w:tc>
      </w:tr>
      <w:tr w14:paraId="2D9B8B03">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shd w:val="clear" w:color="auto" w:fill="auto"/>
            <w:noWrap w:val="0"/>
            <w:vAlign w:val="center"/>
          </w:tcPr>
          <w:p w14:paraId="2DBACCC0">
            <w:pPr>
              <w:widowControl/>
              <w:spacing w:line="400" w:lineRule="exact"/>
              <w:jc w:val="left"/>
              <w:rPr>
                <w:rFonts w:ascii="仿宋_GB2312" w:hAnsi="等线" w:eastAsia="仿宋_GB2312" w:cs="宋体"/>
                <w:color w:val="000000"/>
                <w:kern w:val="0"/>
                <w:szCs w:val="21"/>
              </w:rPr>
            </w:pPr>
          </w:p>
        </w:tc>
        <w:tc>
          <w:tcPr>
            <w:tcW w:w="588" w:type="pct"/>
            <w:vMerge w:val="continue"/>
            <w:tcBorders>
              <w:top w:val="nil"/>
              <w:left w:val="single" w:color="auto" w:sz="4" w:space="0"/>
              <w:bottom w:val="single" w:color="auto" w:sz="4" w:space="0"/>
              <w:right w:val="single" w:color="auto" w:sz="4" w:space="0"/>
            </w:tcBorders>
            <w:shd w:val="clear" w:color="auto" w:fill="auto"/>
            <w:noWrap w:val="0"/>
            <w:vAlign w:val="center"/>
          </w:tcPr>
          <w:p w14:paraId="17386AA4">
            <w:pPr>
              <w:widowControl/>
              <w:spacing w:line="400" w:lineRule="exact"/>
              <w:jc w:val="left"/>
              <w:rPr>
                <w:rFonts w:ascii="仿宋_GB2312" w:hAnsi="等线" w:eastAsia="仿宋_GB2312" w:cs="宋体"/>
                <w:color w:val="000000"/>
                <w:kern w:val="0"/>
                <w:szCs w:val="21"/>
              </w:rPr>
            </w:pPr>
          </w:p>
        </w:tc>
        <w:tc>
          <w:tcPr>
            <w:tcW w:w="523" w:type="pct"/>
            <w:tcBorders>
              <w:top w:val="nil"/>
              <w:left w:val="nil"/>
              <w:bottom w:val="single" w:color="auto" w:sz="4" w:space="0"/>
              <w:right w:val="single" w:color="auto" w:sz="4" w:space="0"/>
            </w:tcBorders>
            <w:shd w:val="clear" w:color="000000" w:fill="FFFFFF"/>
            <w:noWrap w:val="0"/>
            <w:vAlign w:val="center"/>
          </w:tcPr>
          <w:p w14:paraId="7E4766AA">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设备箱</w:t>
            </w:r>
          </w:p>
        </w:tc>
        <w:tc>
          <w:tcPr>
            <w:tcW w:w="2153" w:type="pct"/>
            <w:tcBorders>
              <w:top w:val="nil"/>
              <w:left w:val="nil"/>
              <w:bottom w:val="single" w:color="auto" w:sz="4" w:space="0"/>
              <w:right w:val="single" w:color="auto" w:sz="4" w:space="0"/>
            </w:tcBorders>
            <w:shd w:val="clear" w:color="auto" w:fill="auto"/>
            <w:noWrap w:val="0"/>
            <w:vAlign w:val="center"/>
          </w:tcPr>
          <w:p w14:paraId="5061F90C">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300mm*400mm不锈钢防水箱</w:t>
            </w:r>
          </w:p>
        </w:tc>
        <w:tc>
          <w:tcPr>
            <w:tcW w:w="725" w:type="pct"/>
            <w:tcBorders>
              <w:top w:val="nil"/>
              <w:left w:val="nil"/>
              <w:bottom w:val="single" w:color="auto" w:sz="4" w:space="0"/>
              <w:right w:val="single" w:color="auto" w:sz="4" w:space="0"/>
            </w:tcBorders>
            <w:shd w:val="clear" w:color="auto" w:fill="auto"/>
            <w:noWrap w:val="0"/>
            <w:vAlign w:val="center"/>
          </w:tcPr>
          <w:p w14:paraId="47BECB97">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国产</w:t>
            </w:r>
          </w:p>
        </w:tc>
        <w:tc>
          <w:tcPr>
            <w:tcW w:w="299" w:type="pct"/>
            <w:tcBorders>
              <w:top w:val="nil"/>
              <w:left w:val="nil"/>
              <w:bottom w:val="single" w:color="auto" w:sz="4" w:space="0"/>
              <w:right w:val="single" w:color="auto" w:sz="4" w:space="0"/>
            </w:tcBorders>
            <w:shd w:val="clear" w:color="auto" w:fill="auto"/>
            <w:noWrap w:val="0"/>
            <w:vAlign w:val="center"/>
          </w:tcPr>
          <w:p w14:paraId="7A6E82CD">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11</w:t>
            </w:r>
          </w:p>
        </w:tc>
        <w:tc>
          <w:tcPr>
            <w:tcW w:w="321" w:type="pct"/>
            <w:tcBorders>
              <w:top w:val="nil"/>
              <w:left w:val="nil"/>
              <w:bottom w:val="single" w:color="auto" w:sz="4" w:space="0"/>
              <w:right w:val="single" w:color="auto" w:sz="4" w:space="0"/>
            </w:tcBorders>
            <w:shd w:val="clear" w:color="000000" w:fill="FFFFFF"/>
            <w:noWrap w:val="0"/>
            <w:vAlign w:val="center"/>
          </w:tcPr>
          <w:p w14:paraId="1CC5D3C3">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个</w:t>
            </w:r>
          </w:p>
        </w:tc>
      </w:tr>
      <w:tr w14:paraId="626409A4">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shd w:val="clear" w:color="auto" w:fill="auto"/>
            <w:noWrap w:val="0"/>
            <w:vAlign w:val="center"/>
          </w:tcPr>
          <w:p w14:paraId="5A870EF7">
            <w:pPr>
              <w:widowControl/>
              <w:spacing w:line="400" w:lineRule="exact"/>
              <w:jc w:val="left"/>
              <w:rPr>
                <w:rFonts w:ascii="仿宋_GB2312" w:hAnsi="等线" w:eastAsia="仿宋_GB2312" w:cs="宋体"/>
                <w:color w:val="000000"/>
                <w:kern w:val="0"/>
                <w:szCs w:val="21"/>
              </w:rPr>
            </w:pPr>
          </w:p>
        </w:tc>
        <w:tc>
          <w:tcPr>
            <w:tcW w:w="588" w:type="pct"/>
            <w:vMerge w:val="continue"/>
            <w:tcBorders>
              <w:top w:val="nil"/>
              <w:left w:val="single" w:color="auto" w:sz="4" w:space="0"/>
              <w:bottom w:val="single" w:color="auto" w:sz="4" w:space="0"/>
              <w:right w:val="single" w:color="auto" w:sz="4" w:space="0"/>
            </w:tcBorders>
            <w:shd w:val="clear" w:color="auto" w:fill="auto"/>
            <w:noWrap w:val="0"/>
            <w:vAlign w:val="center"/>
          </w:tcPr>
          <w:p w14:paraId="6E00B362">
            <w:pPr>
              <w:widowControl/>
              <w:spacing w:line="400" w:lineRule="exact"/>
              <w:jc w:val="left"/>
              <w:rPr>
                <w:rFonts w:ascii="仿宋_GB2312" w:hAnsi="等线" w:eastAsia="仿宋_GB2312" w:cs="宋体"/>
                <w:color w:val="000000"/>
                <w:kern w:val="0"/>
                <w:szCs w:val="21"/>
              </w:rPr>
            </w:pPr>
          </w:p>
        </w:tc>
        <w:tc>
          <w:tcPr>
            <w:tcW w:w="523" w:type="pct"/>
            <w:tcBorders>
              <w:top w:val="nil"/>
              <w:left w:val="nil"/>
              <w:bottom w:val="single" w:color="auto" w:sz="4" w:space="0"/>
              <w:right w:val="single" w:color="auto" w:sz="4" w:space="0"/>
            </w:tcBorders>
            <w:shd w:val="clear" w:color="000000" w:fill="FFFFFF"/>
            <w:noWrap w:val="0"/>
            <w:vAlign w:val="center"/>
          </w:tcPr>
          <w:p w14:paraId="79BB2969">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网线</w:t>
            </w:r>
          </w:p>
        </w:tc>
        <w:tc>
          <w:tcPr>
            <w:tcW w:w="2153" w:type="pct"/>
            <w:tcBorders>
              <w:top w:val="nil"/>
              <w:left w:val="nil"/>
              <w:bottom w:val="single" w:color="auto" w:sz="4" w:space="0"/>
              <w:right w:val="single" w:color="auto" w:sz="4" w:space="0"/>
            </w:tcBorders>
            <w:shd w:val="clear" w:color="auto" w:fill="auto"/>
            <w:noWrap w:val="0"/>
            <w:vAlign w:val="center"/>
          </w:tcPr>
          <w:p w14:paraId="4B16B5B2">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六类305米</w:t>
            </w:r>
          </w:p>
        </w:tc>
        <w:tc>
          <w:tcPr>
            <w:tcW w:w="725" w:type="pct"/>
            <w:tcBorders>
              <w:top w:val="nil"/>
              <w:left w:val="nil"/>
              <w:bottom w:val="single" w:color="auto" w:sz="4" w:space="0"/>
              <w:right w:val="single" w:color="auto" w:sz="4" w:space="0"/>
            </w:tcBorders>
            <w:shd w:val="clear" w:color="000000" w:fill="FFFFFF"/>
            <w:noWrap w:val="0"/>
            <w:vAlign w:val="center"/>
          </w:tcPr>
          <w:p w14:paraId="02A47504">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国产</w:t>
            </w:r>
          </w:p>
        </w:tc>
        <w:tc>
          <w:tcPr>
            <w:tcW w:w="299" w:type="pct"/>
            <w:tcBorders>
              <w:top w:val="nil"/>
              <w:left w:val="nil"/>
              <w:bottom w:val="single" w:color="auto" w:sz="4" w:space="0"/>
              <w:right w:val="single" w:color="auto" w:sz="4" w:space="0"/>
            </w:tcBorders>
            <w:shd w:val="clear" w:color="000000" w:fill="FFFFFF"/>
            <w:noWrap w:val="0"/>
            <w:vAlign w:val="center"/>
          </w:tcPr>
          <w:p w14:paraId="0C278FDE">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20</w:t>
            </w:r>
          </w:p>
        </w:tc>
        <w:tc>
          <w:tcPr>
            <w:tcW w:w="321" w:type="pct"/>
            <w:tcBorders>
              <w:top w:val="nil"/>
              <w:left w:val="nil"/>
              <w:bottom w:val="single" w:color="auto" w:sz="4" w:space="0"/>
              <w:right w:val="single" w:color="auto" w:sz="4" w:space="0"/>
            </w:tcBorders>
            <w:shd w:val="clear" w:color="000000" w:fill="FFFFFF"/>
            <w:noWrap w:val="0"/>
            <w:vAlign w:val="center"/>
          </w:tcPr>
          <w:p w14:paraId="3A4F77FF">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箱</w:t>
            </w:r>
          </w:p>
        </w:tc>
      </w:tr>
      <w:tr w14:paraId="1D79ECD3">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shd w:val="clear" w:color="auto" w:fill="auto"/>
            <w:noWrap w:val="0"/>
            <w:vAlign w:val="center"/>
          </w:tcPr>
          <w:p w14:paraId="564612BB">
            <w:pPr>
              <w:widowControl/>
              <w:spacing w:line="400" w:lineRule="exact"/>
              <w:jc w:val="left"/>
              <w:rPr>
                <w:rFonts w:ascii="仿宋_GB2312" w:hAnsi="等线" w:eastAsia="仿宋_GB2312" w:cs="宋体"/>
                <w:color w:val="000000"/>
                <w:kern w:val="0"/>
                <w:szCs w:val="21"/>
              </w:rPr>
            </w:pPr>
          </w:p>
        </w:tc>
        <w:tc>
          <w:tcPr>
            <w:tcW w:w="588" w:type="pct"/>
            <w:vMerge w:val="continue"/>
            <w:tcBorders>
              <w:top w:val="nil"/>
              <w:left w:val="single" w:color="auto" w:sz="4" w:space="0"/>
              <w:bottom w:val="single" w:color="auto" w:sz="4" w:space="0"/>
              <w:right w:val="single" w:color="auto" w:sz="4" w:space="0"/>
            </w:tcBorders>
            <w:shd w:val="clear" w:color="auto" w:fill="auto"/>
            <w:noWrap w:val="0"/>
            <w:vAlign w:val="center"/>
          </w:tcPr>
          <w:p w14:paraId="1CCFEFE4">
            <w:pPr>
              <w:widowControl/>
              <w:spacing w:line="400" w:lineRule="exact"/>
              <w:jc w:val="left"/>
              <w:rPr>
                <w:rFonts w:ascii="仿宋_GB2312" w:hAnsi="等线" w:eastAsia="仿宋_GB2312" w:cs="宋体"/>
                <w:color w:val="000000"/>
                <w:kern w:val="0"/>
                <w:szCs w:val="21"/>
              </w:rPr>
            </w:pPr>
          </w:p>
        </w:tc>
        <w:tc>
          <w:tcPr>
            <w:tcW w:w="523" w:type="pct"/>
            <w:tcBorders>
              <w:top w:val="nil"/>
              <w:left w:val="nil"/>
              <w:bottom w:val="single" w:color="auto" w:sz="4" w:space="0"/>
              <w:right w:val="single" w:color="auto" w:sz="4" w:space="0"/>
            </w:tcBorders>
            <w:shd w:val="clear" w:color="000000" w:fill="FFFFFF"/>
            <w:noWrap w:val="0"/>
            <w:vAlign w:val="center"/>
          </w:tcPr>
          <w:p w14:paraId="2B59E53C">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电源线</w:t>
            </w:r>
          </w:p>
        </w:tc>
        <w:tc>
          <w:tcPr>
            <w:tcW w:w="2153" w:type="pct"/>
            <w:tcBorders>
              <w:top w:val="nil"/>
              <w:left w:val="nil"/>
              <w:bottom w:val="single" w:color="auto" w:sz="4" w:space="0"/>
              <w:right w:val="single" w:color="auto" w:sz="4" w:space="0"/>
            </w:tcBorders>
            <w:shd w:val="clear" w:color="auto" w:fill="auto"/>
            <w:noWrap w:val="0"/>
            <w:vAlign w:val="center"/>
          </w:tcPr>
          <w:p w14:paraId="613F8B84">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国产</w:t>
            </w:r>
          </w:p>
        </w:tc>
        <w:tc>
          <w:tcPr>
            <w:tcW w:w="725" w:type="pct"/>
            <w:tcBorders>
              <w:top w:val="nil"/>
              <w:left w:val="nil"/>
              <w:bottom w:val="single" w:color="auto" w:sz="4" w:space="0"/>
              <w:right w:val="single" w:color="auto" w:sz="4" w:space="0"/>
            </w:tcBorders>
            <w:shd w:val="clear" w:color="000000" w:fill="FFFFFF"/>
            <w:noWrap w:val="0"/>
            <w:vAlign w:val="center"/>
          </w:tcPr>
          <w:p w14:paraId="4BC9249F">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国产</w:t>
            </w:r>
          </w:p>
        </w:tc>
        <w:tc>
          <w:tcPr>
            <w:tcW w:w="299" w:type="pct"/>
            <w:tcBorders>
              <w:top w:val="nil"/>
              <w:left w:val="nil"/>
              <w:bottom w:val="single" w:color="auto" w:sz="4" w:space="0"/>
              <w:right w:val="single" w:color="auto" w:sz="4" w:space="0"/>
            </w:tcBorders>
            <w:shd w:val="clear" w:color="000000" w:fill="FFFFFF"/>
            <w:noWrap w:val="0"/>
            <w:vAlign w:val="center"/>
          </w:tcPr>
          <w:p w14:paraId="049A36D8">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15</w:t>
            </w:r>
          </w:p>
        </w:tc>
        <w:tc>
          <w:tcPr>
            <w:tcW w:w="321" w:type="pct"/>
            <w:tcBorders>
              <w:top w:val="nil"/>
              <w:left w:val="nil"/>
              <w:bottom w:val="single" w:color="auto" w:sz="4" w:space="0"/>
              <w:right w:val="single" w:color="auto" w:sz="4" w:space="0"/>
            </w:tcBorders>
            <w:shd w:val="clear" w:color="000000" w:fill="FFFFFF"/>
            <w:noWrap w:val="0"/>
            <w:vAlign w:val="center"/>
          </w:tcPr>
          <w:p w14:paraId="6C71490A">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卷</w:t>
            </w:r>
          </w:p>
        </w:tc>
      </w:tr>
      <w:tr w14:paraId="12B16DD6">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0FF1CB5">
            <w:pPr>
              <w:widowControl/>
              <w:spacing w:line="400" w:lineRule="exact"/>
              <w:jc w:val="left"/>
              <w:rPr>
                <w:rFonts w:ascii="仿宋_GB2312" w:hAnsi="等线" w:eastAsia="仿宋_GB2312" w:cs="宋体"/>
                <w:color w:val="000000"/>
                <w:kern w:val="0"/>
                <w:szCs w:val="21"/>
              </w:rPr>
            </w:pPr>
          </w:p>
        </w:tc>
        <w:tc>
          <w:tcPr>
            <w:tcW w:w="588"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31BBB11">
            <w:pPr>
              <w:widowControl/>
              <w:spacing w:line="400" w:lineRule="exact"/>
              <w:jc w:val="left"/>
              <w:rPr>
                <w:rFonts w:ascii="仿宋_GB2312" w:hAnsi="等线" w:eastAsia="仿宋_GB2312" w:cs="宋体"/>
                <w:color w:val="000000"/>
                <w:kern w:val="0"/>
                <w:szCs w:val="21"/>
              </w:rPr>
            </w:pPr>
          </w:p>
        </w:tc>
        <w:tc>
          <w:tcPr>
            <w:tcW w:w="523" w:type="pct"/>
            <w:tcBorders>
              <w:top w:val="nil"/>
              <w:left w:val="nil"/>
              <w:bottom w:val="single" w:color="auto" w:sz="4" w:space="0"/>
              <w:right w:val="single" w:color="auto" w:sz="4" w:space="0"/>
            </w:tcBorders>
            <w:shd w:val="clear" w:color="000000" w:fill="FFFFFF"/>
            <w:noWrap w:val="0"/>
            <w:vAlign w:val="center"/>
          </w:tcPr>
          <w:p w14:paraId="7711C21D">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机柜</w:t>
            </w:r>
          </w:p>
        </w:tc>
        <w:tc>
          <w:tcPr>
            <w:tcW w:w="2153" w:type="pct"/>
            <w:tcBorders>
              <w:top w:val="nil"/>
              <w:left w:val="nil"/>
              <w:bottom w:val="single" w:color="auto" w:sz="4" w:space="0"/>
              <w:right w:val="single" w:color="auto" w:sz="4" w:space="0"/>
            </w:tcBorders>
            <w:shd w:val="clear" w:color="auto" w:fill="auto"/>
            <w:noWrap w:val="0"/>
            <w:vAlign w:val="center"/>
          </w:tcPr>
          <w:p w14:paraId="10A66212">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尺寸：600mmx600mmx2000mm 1台；600mmx600mmx1200mm 11台；</w:t>
            </w:r>
          </w:p>
        </w:tc>
        <w:tc>
          <w:tcPr>
            <w:tcW w:w="725" w:type="pct"/>
            <w:tcBorders>
              <w:top w:val="nil"/>
              <w:left w:val="nil"/>
              <w:bottom w:val="single" w:color="auto" w:sz="4" w:space="0"/>
              <w:right w:val="single" w:color="auto" w:sz="4" w:space="0"/>
            </w:tcBorders>
            <w:shd w:val="clear" w:color="auto" w:fill="auto"/>
            <w:noWrap w:val="0"/>
            <w:vAlign w:val="center"/>
          </w:tcPr>
          <w:p w14:paraId="65026796">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国产</w:t>
            </w:r>
          </w:p>
        </w:tc>
        <w:tc>
          <w:tcPr>
            <w:tcW w:w="299" w:type="pct"/>
            <w:tcBorders>
              <w:top w:val="nil"/>
              <w:left w:val="nil"/>
              <w:bottom w:val="single" w:color="auto" w:sz="4" w:space="0"/>
              <w:right w:val="single" w:color="auto" w:sz="4" w:space="0"/>
            </w:tcBorders>
            <w:shd w:val="clear" w:color="auto" w:fill="auto"/>
            <w:noWrap w:val="0"/>
            <w:vAlign w:val="center"/>
          </w:tcPr>
          <w:p w14:paraId="27A06B66">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12</w:t>
            </w:r>
          </w:p>
        </w:tc>
        <w:tc>
          <w:tcPr>
            <w:tcW w:w="321" w:type="pct"/>
            <w:tcBorders>
              <w:top w:val="nil"/>
              <w:left w:val="nil"/>
              <w:bottom w:val="single" w:color="auto" w:sz="4" w:space="0"/>
              <w:right w:val="single" w:color="auto" w:sz="4" w:space="0"/>
            </w:tcBorders>
            <w:shd w:val="clear" w:color="000000" w:fill="FFFFFF"/>
            <w:noWrap w:val="0"/>
            <w:vAlign w:val="center"/>
          </w:tcPr>
          <w:p w14:paraId="377A99AD">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台</w:t>
            </w:r>
          </w:p>
        </w:tc>
      </w:tr>
      <w:tr w14:paraId="3E417547">
        <w:tblPrEx>
          <w:tblCellMar>
            <w:top w:w="0" w:type="dxa"/>
            <w:left w:w="108" w:type="dxa"/>
            <w:bottom w:w="0" w:type="dxa"/>
            <w:right w:w="108" w:type="dxa"/>
          </w:tblCellMar>
        </w:tblPrEx>
        <w:trPr>
          <w:trHeight w:val="20" w:hRule="atLeast"/>
        </w:trPr>
        <w:tc>
          <w:tcPr>
            <w:tcW w:w="391" w:type="pct"/>
            <w:tcBorders>
              <w:top w:val="nil"/>
              <w:left w:val="single" w:color="auto" w:sz="4" w:space="0"/>
              <w:bottom w:val="single" w:color="auto" w:sz="4" w:space="0"/>
              <w:right w:val="single" w:color="auto" w:sz="4" w:space="0"/>
            </w:tcBorders>
            <w:shd w:val="clear" w:color="auto" w:fill="auto"/>
            <w:noWrap w:val="0"/>
            <w:vAlign w:val="center"/>
          </w:tcPr>
          <w:p w14:paraId="240FD2D9">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5</w:t>
            </w:r>
          </w:p>
        </w:tc>
        <w:tc>
          <w:tcPr>
            <w:tcW w:w="588" w:type="pct"/>
            <w:tcBorders>
              <w:top w:val="nil"/>
              <w:left w:val="nil"/>
              <w:bottom w:val="single" w:color="auto" w:sz="4" w:space="0"/>
              <w:right w:val="single" w:color="auto" w:sz="4" w:space="0"/>
            </w:tcBorders>
            <w:shd w:val="clear" w:color="auto" w:fill="auto"/>
            <w:noWrap w:val="0"/>
            <w:vAlign w:val="center"/>
          </w:tcPr>
          <w:p w14:paraId="76D5C91C">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智慧监控设备</w:t>
            </w:r>
          </w:p>
        </w:tc>
        <w:tc>
          <w:tcPr>
            <w:tcW w:w="523" w:type="pct"/>
            <w:tcBorders>
              <w:top w:val="nil"/>
              <w:left w:val="nil"/>
              <w:bottom w:val="single" w:color="auto" w:sz="4" w:space="0"/>
              <w:right w:val="single" w:color="auto" w:sz="4" w:space="0"/>
            </w:tcBorders>
            <w:shd w:val="clear" w:color="000000" w:fill="FFFFFF"/>
            <w:noWrap w:val="0"/>
            <w:vAlign w:val="center"/>
          </w:tcPr>
          <w:p w14:paraId="04BBACB9">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AI分析盒子</w:t>
            </w:r>
          </w:p>
        </w:tc>
        <w:tc>
          <w:tcPr>
            <w:tcW w:w="2153" w:type="pct"/>
            <w:tcBorders>
              <w:top w:val="nil"/>
              <w:left w:val="nil"/>
              <w:bottom w:val="single" w:color="auto" w:sz="4" w:space="0"/>
              <w:right w:val="single" w:color="auto" w:sz="4" w:space="0"/>
            </w:tcBorders>
            <w:shd w:val="clear" w:color="auto" w:fill="auto"/>
            <w:noWrap w:val="0"/>
            <w:vAlign w:val="center"/>
          </w:tcPr>
          <w:p w14:paraId="776A0C3A">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【硬件规格】</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1U标准机架式纯分析主机</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视频接口：1个HDMI，1个VGA（预留）</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硬盘接口：1个SATA3.0接口，内置8T AI盘，用于报警图片存储</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网络接口：4个10M/100M/1000Mbps网口</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USB接口：2个USB2.0接口、4个USB3.0接口</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串行接口：1个RS232，2个RS485(半双工)</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音频接口：1路3.5mm输入，1路3.5mm输出</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报警接口：8路IO输入，4路IO输出</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接入能力：64路H.264、H.265格式高清码流接入</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5合1 AI融合巡检，集成人、车、行为、事件、AIOP 5大类多种算法于一体</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一、人（包含3种算法）</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二、车（包含2种算法）</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三、行为（包含4种算法）</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四、事件（包含3种算法，其中街道不支持虚拟引擎，需要独占整颗GPU）</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【设备总性能规格】</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设备内置6颗GPU（默认配置4个GPU直接分析+2个GPU二次分析）</w:t>
            </w:r>
          </w:p>
        </w:tc>
        <w:tc>
          <w:tcPr>
            <w:tcW w:w="725" w:type="pct"/>
            <w:tcBorders>
              <w:top w:val="nil"/>
              <w:left w:val="nil"/>
              <w:bottom w:val="single" w:color="auto" w:sz="4" w:space="0"/>
              <w:right w:val="single" w:color="auto" w:sz="4" w:space="0"/>
            </w:tcBorders>
            <w:shd w:val="clear" w:color="auto" w:fill="auto"/>
            <w:noWrap w:val="0"/>
            <w:vAlign w:val="center"/>
          </w:tcPr>
          <w:p w14:paraId="58FD7B18">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海康威视DS-67064NX-S/HWF</w:t>
            </w:r>
          </w:p>
        </w:tc>
        <w:tc>
          <w:tcPr>
            <w:tcW w:w="299" w:type="pct"/>
            <w:tcBorders>
              <w:top w:val="nil"/>
              <w:left w:val="nil"/>
              <w:bottom w:val="single" w:color="auto" w:sz="4" w:space="0"/>
              <w:right w:val="single" w:color="auto" w:sz="4" w:space="0"/>
            </w:tcBorders>
            <w:shd w:val="clear" w:color="auto" w:fill="auto"/>
            <w:noWrap w:val="0"/>
            <w:vAlign w:val="center"/>
          </w:tcPr>
          <w:p w14:paraId="3C1E9B43">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321" w:type="pct"/>
            <w:tcBorders>
              <w:top w:val="nil"/>
              <w:left w:val="nil"/>
              <w:bottom w:val="single" w:color="auto" w:sz="4" w:space="0"/>
              <w:right w:val="single" w:color="auto" w:sz="4" w:space="0"/>
            </w:tcBorders>
            <w:shd w:val="clear" w:color="000000" w:fill="FFFFFF"/>
            <w:noWrap w:val="0"/>
            <w:vAlign w:val="center"/>
          </w:tcPr>
          <w:p w14:paraId="51738602">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台</w:t>
            </w:r>
          </w:p>
        </w:tc>
      </w:tr>
      <w:tr w14:paraId="06C6711D">
        <w:tblPrEx>
          <w:tblCellMar>
            <w:top w:w="0" w:type="dxa"/>
            <w:left w:w="108" w:type="dxa"/>
            <w:bottom w:w="0" w:type="dxa"/>
            <w:right w:w="108" w:type="dxa"/>
          </w:tblCellMar>
        </w:tblPrEx>
        <w:trPr>
          <w:trHeight w:val="20" w:hRule="atLeast"/>
        </w:trPr>
        <w:tc>
          <w:tcPr>
            <w:tcW w:w="391" w:type="pct"/>
            <w:vMerge w:val="restart"/>
            <w:tcBorders>
              <w:top w:val="nil"/>
              <w:left w:val="single" w:color="auto" w:sz="4" w:space="0"/>
              <w:bottom w:val="single" w:color="auto" w:sz="4" w:space="0"/>
              <w:right w:val="single" w:color="auto" w:sz="4" w:space="0"/>
            </w:tcBorders>
            <w:shd w:val="clear" w:color="auto" w:fill="auto"/>
            <w:noWrap w:val="0"/>
            <w:vAlign w:val="center"/>
          </w:tcPr>
          <w:p w14:paraId="133F98AB">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6</w:t>
            </w:r>
          </w:p>
        </w:tc>
        <w:tc>
          <w:tcPr>
            <w:tcW w:w="588" w:type="pct"/>
            <w:vMerge w:val="restart"/>
            <w:tcBorders>
              <w:top w:val="nil"/>
              <w:left w:val="single" w:color="auto" w:sz="4" w:space="0"/>
              <w:bottom w:val="single" w:color="auto" w:sz="4" w:space="0"/>
              <w:right w:val="single" w:color="auto" w:sz="4" w:space="0"/>
            </w:tcBorders>
            <w:shd w:val="clear" w:color="auto" w:fill="auto"/>
            <w:noWrap w:val="0"/>
            <w:vAlign w:val="center"/>
          </w:tcPr>
          <w:p w14:paraId="7916D855">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智慧园区管理平台及硬件</w:t>
            </w:r>
          </w:p>
        </w:tc>
        <w:tc>
          <w:tcPr>
            <w:tcW w:w="523" w:type="pct"/>
            <w:tcBorders>
              <w:top w:val="nil"/>
              <w:left w:val="nil"/>
              <w:bottom w:val="single" w:color="auto" w:sz="4" w:space="0"/>
              <w:right w:val="single" w:color="auto" w:sz="4" w:space="0"/>
            </w:tcBorders>
            <w:shd w:val="clear" w:color="000000" w:fill="FFFFFF"/>
            <w:noWrap w:val="0"/>
            <w:vAlign w:val="center"/>
          </w:tcPr>
          <w:p w14:paraId="56649635">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智慧园区管理平台</w:t>
            </w:r>
          </w:p>
        </w:tc>
        <w:tc>
          <w:tcPr>
            <w:tcW w:w="2153" w:type="pct"/>
            <w:tcBorders>
              <w:top w:val="nil"/>
              <w:left w:val="nil"/>
              <w:bottom w:val="single" w:color="auto" w:sz="4" w:space="0"/>
              <w:right w:val="single" w:color="auto" w:sz="4" w:space="0"/>
            </w:tcBorders>
            <w:shd w:val="clear" w:color="auto" w:fill="auto"/>
            <w:noWrap w:val="0"/>
            <w:vAlign w:val="center"/>
          </w:tcPr>
          <w:p w14:paraId="09F0E7FF">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包含基础包、门户工作台、通知公告、时间中心、视频监控500路、设备网络管理500路、视频联网、园区检索、人车检索</w:t>
            </w:r>
          </w:p>
        </w:tc>
        <w:tc>
          <w:tcPr>
            <w:tcW w:w="725" w:type="pct"/>
            <w:tcBorders>
              <w:top w:val="nil"/>
              <w:left w:val="nil"/>
              <w:bottom w:val="single" w:color="auto" w:sz="4" w:space="0"/>
              <w:right w:val="single" w:color="auto" w:sz="4" w:space="0"/>
            </w:tcBorders>
            <w:shd w:val="clear" w:color="auto" w:fill="auto"/>
            <w:noWrap w:val="0"/>
            <w:vAlign w:val="center"/>
          </w:tcPr>
          <w:p w14:paraId="140FF8CA">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海康威视Infovision iPark Platform</w:t>
            </w:r>
          </w:p>
        </w:tc>
        <w:tc>
          <w:tcPr>
            <w:tcW w:w="299" w:type="pct"/>
            <w:tcBorders>
              <w:top w:val="nil"/>
              <w:left w:val="nil"/>
              <w:bottom w:val="single" w:color="auto" w:sz="4" w:space="0"/>
              <w:right w:val="single" w:color="auto" w:sz="4" w:space="0"/>
            </w:tcBorders>
            <w:shd w:val="clear" w:color="auto" w:fill="auto"/>
            <w:noWrap w:val="0"/>
            <w:vAlign w:val="center"/>
          </w:tcPr>
          <w:p w14:paraId="30C962A7">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321" w:type="pct"/>
            <w:tcBorders>
              <w:top w:val="nil"/>
              <w:left w:val="nil"/>
              <w:bottom w:val="single" w:color="auto" w:sz="4" w:space="0"/>
              <w:right w:val="single" w:color="auto" w:sz="4" w:space="0"/>
            </w:tcBorders>
            <w:shd w:val="clear" w:color="000000" w:fill="FFFFFF"/>
            <w:noWrap w:val="0"/>
            <w:vAlign w:val="center"/>
          </w:tcPr>
          <w:p w14:paraId="4C7A7FA7">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套</w:t>
            </w:r>
          </w:p>
        </w:tc>
      </w:tr>
      <w:tr w14:paraId="654FC074">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shd w:val="clear" w:color="auto" w:fill="auto"/>
            <w:noWrap w:val="0"/>
            <w:vAlign w:val="center"/>
          </w:tcPr>
          <w:p w14:paraId="20BC5579">
            <w:pPr>
              <w:widowControl/>
              <w:spacing w:line="400" w:lineRule="exact"/>
              <w:jc w:val="left"/>
              <w:rPr>
                <w:rFonts w:ascii="仿宋_GB2312" w:hAnsi="等线" w:eastAsia="仿宋_GB2312" w:cs="宋体"/>
                <w:color w:val="000000"/>
                <w:kern w:val="0"/>
                <w:szCs w:val="21"/>
              </w:rPr>
            </w:pPr>
          </w:p>
        </w:tc>
        <w:tc>
          <w:tcPr>
            <w:tcW w:w="588" w:type="pct"/>
            <w:vMerge w:val="continue"/>
            <w:tcBorders>
              <w:top w:val="nil"/>
              <w:left w:val="single" w:color="auto" w:sz="4" w:space="0"/>
              <w:bottom w:val="single" w:color="auto" w:sz="4" w:space="0"/>
              <w:right w:val="single" w:color="auto" w:sz="4" w:space="0"/>
            </w:tcBorders>
            <w:shd w:val="clear" w:color="auto" w:fill="auto"/>
            <w:noWrap w:val="0"/>
            <w:vAlign w:val="center"/>
          </w:tcPr>
          <w:p w14:paraId="002080B5">
            <w:pPr>
              <w:widowControl/>
              <w:spacing w:line="400" w:lineRule="exact"/>
              <w:jc w:val="left"/>
              <w:rPr>
                <w:rFonts w:ascii="仿宋_GB2312" w:hAnsi="等线" w:eastAsia="仿宋_GB2312" w:cs="宋体"/>
                <w:color w:val="000000"/>
                <w:kern w:val="0"/>
                <w:szCs w:val="21"/>
              </w:rPr>
            </w:pPr>
          </w:p>
        </w:tc>
        <w:tc>
          <w:tcPr>
            <w:tcW w:w="523" w:type="pct"/>
            <w:tcBorders>
              <w:top w:val="nil"/>
              <w:left w:val="nil"/>
              <w:bottom w:val="single" w:color="auto" w:sz="4" w:space="0"/>
              <w:right w:val="single" w:color="auto" w:sz="4" w:space="0"/>
            </w:tcBorders>
            <w:shd w:val="clear" w:color="000000" w:fill="FFFFFF"/>
            <w:noWrap w:val="0"/>
            <w:vAlign w:val="center"/>
          </w:tcPr>
          <w:p w14:paraId="08685EA3">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通用服务器</w:t>
            </w:r>
          </w:p>
        </w:tc>
        <w:tc>
          <w:tcPr>
            <w:tcW w:w="2153" w:type="pct"/>
            <w:tcBorders>
              <w:top w:val="nil"/>
              <w:left w:val="nil"/>
              <w:bottom w:val="single" w:color="auto" w:sz="4" w:space="0"/>
              <w:right w:val="single" w:color="auto" w:sz="4" w:space="0"/>
            </w:tcBorders>
            <w:shd w:val="clear" w:color="auto" w:fill="auto"/>
            <w:noWrap w:val="0"/>
            <w:vAlign w:val="center"/>
          </w:tcPr>
          <w:p w14:paraId="6B9EB4B3">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技术规格：1U单路标准机架式服务器</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CPU：配置1颗x86架构HYGON3350处理器，核数≥8核,频率≥3.0GHz</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内存：配置64G DDR4，4根内存插槽，最大支持扩展至128GB</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硬盘：配置2块4TB 7.2K 3.5英寸 SATA盘，最高支持4块3.5寸（兼容2.5寸）热插拔SATA/SAS硬盘</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阵列卡：配置1块SAS_HBA卡，(支持RAID 0/1/10)</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PCIE扩展：支持2个PCIE插槽</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网口：板载2个千兆电口，支持选配10GbE、25GbE SFP+等多种网络接口</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其他接口：1个千兆RJ-45管理接口，4个USB 3.0接口，2个位于机箱后部，2个位于机箱前部</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1个VGA口，位于机箱后部</w:t>
            </w:r>
            <w:r>
              <w:rPr>
                <w:rFonts w:hint="eastAsia" w:ascii="仿宋_GB2312" w:hAnsi="等线" w:eastAsia="仿宋_GB2312" w:cs="宋体"/>
                <w:color w:val="000000"/>
                <w:kern w:val="0"/>
                <w:szCs w:val="21"/>
              </w:rPr>
              <w:br w:type="textWrapping"/>
            </w:r>
            <w:r>
              <w:rPr>
                <w:rFonts w:hint="eastAsia" w:ascii="仿宋_GB2312" w:hAnsi="等线" w:eastAsia="仿宋_GB2312" w:cs="宋体"/>
                <w:color w:val="000000"/>
                <w:kern w:val="0"/>
                <w:szCs w:val="21"/>
              </w:rPr>
              <w:t>电源：配置350W高效单电源</w:t>
            </w:r>
          </w:p>
        </w:tc>
        <w:tc>
          <w:tcPr>
            <w:tcW w:w="725" w:type="pct"/>
            <w:tcBorders>
              <w:top w:val="nil"/>
              <w:left w:val="nil"/>
              <w:bottom w:val="single" w:color="auto" w:sz="4" w:space="0"/>
              <w:right w:val="single" w:color="auto" w:sz="4" w:space="0"/>
            </w:tcBorders>
            <w:shd w:val="clear" w:color="auto" w:fill="auto"/>
            <w:noWrap w:val="0"/>
            <w:vAlign w:val="center"/>
          </w:tcPr>
          <w:p w14:paraId="5774138A">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海康威视DS-VM11S-B</w:t>
            </w:r>
          </w:p>
        </w:tc>
        <w:tc>
          <w:tcPr>
            <w:tcW w:w="299" w:type="pct"/>
            <w:tcBorders>
              <w:top w:val="nil"/>
              <w:left w:val="nil"/>
              <w:bottom w:val="single" w:color="auto" w:sz="4" w:space="0"/>
              <w:right w:val="single" w:color="auto" w:sz="4" w:space="0"/>
            </w:tcBorders>
            <w:shd w:val="clear" w:color="auto" w:fill="auto"/>
            <w:noWrap w:val="0"/>
            <w:vAlign w:val="center"/>
          </w:tcPr>
          <w:p w14:paraId="04FE878D">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321" w:type="pct"/>
            <w:tcBorders>
              <w:top w:val="nil"/>
              <w:left w:val="nil"/>
              <w:bottom w:val="single" w:color="auto" w:sz="4" w:space="0"/>
              <w:right w:val="single" w:color="auto" w:sz="4" w:space="0"/>
            </w:tcBorders>
            <w:shd w:val="clear" w:color="000000" w:fill="FFFFFF"/>
            <w:noWrap w:val="0"/>
            <w:vAlign w:val="center"/>
          </w:tcPr>
          <w:p w14:paraId="7979BF07">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台</w:t>
            </w:r>
          </w:p>
        </w:tc>
      </w:tr>
      <w:tr w14:paraId="5A5B1498">
        <w:tblPrEx>
          <w:tblCellMar>
            <w:top w:w="0" w:type="dxa"/>
            <w:left w:w="108" w:type="dxa"/>
            <w:bottom w:w="0" w:type="dxa"/>
            <w:right w:w="108" w:type="dxa"/>
          </w:tblCellMar>
        </w:tblPrEx>
        <w:trPr>
          <w:trHeight w:val="20" w:hRule="atLeast"/>
        </w:trPr>
        <w:tc>
          <w:tcPr>
            <w:tcW w:w="391" w:type="pct"/>
            <w:tcBorders>
              <w:top w:val="nil"/>
              <w:left w:val="single" w:color="auto" w:sz="4" w:space="0"/>
              <w:bottom w:val="single" w:color="auto" w:sz="4" w:space="0"/>
              <w:right w:val="single" w:color="auto" w:sz="4" w:space="0"/>
            </w:tcBorders>
            <w:shd w:val="clear" w:color="000000" w:fill="FFFFFF"/>
            <w:noWrap w:val="0"/>
            <w:vAlign w:val="center"/>
          </w:tcPr>
          <w:p w14:paraId="21470269">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7</w:t>
            </w:r>
          </w:p>
        </w:tc>
        <w:tc>
          <w:tcPr>
            <w:tcW w:w="588" w:type="pct"/>
            <w:tcBorders>
              <w:top w:val="nil"/>
              <w:left w:val="nil"/>
              <w:bottom w:val="single" w:color="auto" w:sz="4" w:space="0"/>
              <w:right w:val="single" w:color="auto" w:sz="4" w:space="0"/>
            </w:tcBorders>
            <w:shd w:val="clear" w:color="000000" w:fill="FFFFFF"/>
            <w:noWrap w:val="0"/>
            <w:vAlign w:val="center"/>
          </w:tcPr>
          <w:p w14:paraId="0ACFC515">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数字孪生平台</w:t>
            </w:r>
          </w:p>
        </w:tc>
        <w:tc>
          <w:tcPr>
            <w:tcW w:w="523" w:type="pct"/>
            <w:tcBorders>
              <w:top w:val="nil"/>
              <w:left w:val="nil"/>
              <w:bottom w:val="single" w:color="auto" w:sz="4" w:space="0"/>
              <w:right w:val="single" w:color="auto" w:sz="4" w:space="0"/>
            </w:tcBorders>
            <w:shd w:val="clear" w:color="000000" w:fill="FFFFFF"/>
            <w:noWrap w:val="0"/>
            <w:vAlign w:val="center"/>
          </w:tcPr>
          <w:p w14:paraId="1EC738FA">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数字孪生平台</w:t>
            </w:r>
          </w:p>
        </w:tc>
        <w:tc>
          <w:tcPr>
            <w:tcW w:w="2153" w:type="pct"/>
            <w:tcBorders>
              <w:top w:val="nil"/>
              <w:left w:val="nil"/>
              <w:bottom w:val="single" w:color="auto" w:sz="4" w:space="0"/>
              <w:right w:val="single" w:color="auto" w:sz="4" w:space="0"/>
            </w:tcBorders>
            <w:shd w:val="clear" w:color="000000" w:fill="FFFFFF"/>
            <w:noWrap w:val="0"/>
            <w:vAlign w:val="center"/>
          </w:tcPr>
          <w:p w14:paraId="4FEF8CB2">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三维引擎基础包、三维多园区模型管理</w:t>
            </w:r>
          </w:p>
        </w:tc>
        <w:tc>
          <w:tcPr>
            <w:tcW w:w="725" w:type="pct"/>
            <w:tcBorders>
              <w:top w:val="nil"/>
              <w:left w:val="nil"/>
              <w:bottom w:val="single" w:color="auto" w:sz="4" w:space="0"/>
              <w:right w:val="single" w:color="auto" w:sz="4" w:space="0"/>
            </w:tcBorders>
            <w:shd w:val="clear" w:color="auto" w:fill="auto"/>
            <w:noWrap w:val="0"/>
            <w:vAlign w:val="center"/>
          </w:tcPr>
          <w:p w14:paraId="2A02FC93">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海康威视Infovision iPark Platform-dve</w:t>
            </w:r>
          </w:p>
        </w:tc>
        <w:tc>
          <w:tcPr>
            <w:tcW w:w="299" w:type="pct"/>
            <w:tcBorders>
              <w:top w:val="nil"/>
              <w:left w:val="nil"/>
              <w:bottom w:val="single" w:color="auto" w:sz="4" w:space="0"/>
              <w:right w:val="single" w:color="auto" w:sz="4" w:space="0"/>
            </w:tcBorders>
            <w:shd w:val="clear" w:color="auto" w:fill="auto"/>
            <w:noWrap w:val="0"/>
            <w:vAlign w:val="center"/>
          </w:tcPr>
          <w:p w14:paraId="0F2994E7">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321" w:type="pct"/>
            <w:tcBorders>
              <w:top w:val="nil"/>
              <w:left w:val="nil"/>
              <w:bottom w:val="single" w:color="auto" w:sz="4" w:space="0"/>
              <w:right w:val="single" w:color="auto" w:sz="4" w:space="0"/>
            </w:tcBorders>
            <w:shd w:val="clear" w:color="000000" w:fill="FFFFFF"/>
            <w:noWrap w:val="0"/>
            <w:vAlign w:val="center"/>
          </w:tcPr>
          <w:p w14:paraId="25301B32">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套</w:t>
            </w:r>
          </w:p>
        </w:tc>
      </w:tr>
      <w:tr w14:paraId="5A138F7F">
        <w:tblPrEx>
          <w:tblCellMar>
            <w:top w:w="0" w:type="dxa"/>
            <w:left w:w="108" w:type="dxa"/>
            <w:bottom w:w="0" w:type="dxa"/>
            <w:right w:w="108" w:type="dxa"/>
          </w:tblCellMar>
        </w:tblPrEx>
        <w:trPr>
          <w:trHeight w:val="20" w:hRule="atLeast"/>
        </w:trPr>
        <w:tc>
          <w:tcPr>
            <w:tcW w:w="391" w:type="pct"/>
            <w:tcBorders>
              <w:top w:val="nil"/>
              <w:left w:val="single" w:color="auto" w:sz="4" w:space="0"/>
              <w:bottom w:val="single" w:color="auto" w:sz="4" w:space="0"/>
              <w:right w:val="single" w:color="auto" w:sz="4" w:space="0"/>
            </w:tcBorders>
            <w:shd w:val="clear" w:color="000000" w:fill="FFFFFF"/>
            <w:noWrap w:val="0"/>
            <w:vAlign w:val="center"/>
          </w:tcPr>
          <w:p w14:paraId="2A8E0DDE">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8</w:t>
            </w:r>
          </w:p>
        </w:tc>
        <w:tc>
          <w:tcPr>
            <w:tcW w:w="588" w:type="pct"/>
            <w:tcBorders>
              <w:top w:val="nil"/>
              <w:left w:val="nil"/>
              <w:bottom w:val="single" w:color="auto" w:sz="4" w:space="0"/>
              <w:right w:val="single" w:color="auto" w:sz="4" w:space="0"/>
            </w:tcBorders>
            <w:shd w:val="clear" w:color="000000" w:fill="FFFFFF"/>
            <w:noWrap w:val="0"/>
            <w:vAlign w:val="center"/>
          </w:tcPr>
          <w:p w14:paraId="4550F4DD">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平台对接服务</w:t>
            </w:r>
          </w:p>
        </w:tc>
        <w:tc>
          <w:tcPr>
            <w:tcW w:w="523" w:type="pct"/>
            <w:tcBorders>
              <w:top w:val="nil"/>
              <w:left w:val="nil"/>
              <w:bottom w:val="single" w:color="auto" w:sz="4" w:space="0"/>
              <w:right w:val="single" w:color="auto" w:sz="4" w:space="0"/>
            </w:tcBorders>
            <w:shd w:val="clear" w:color="000000" w:fill="FFFFFF"/>
            <w:noWrap w:val="0"/>
            <w:vAlign w:val="center"/>
          </w:tcPr>
          <w:p w14:paraId="70469A20">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平台对接服务</w:t>
            </w:r>
          </w:p>
        </w:tc>
        <w:tc>
          <w:tcPr>
            <w:tcW w:w="2153" w:type="pct"/>
            <w:tcBorders>
              <w:top w:val="nil"/>
              <w:left w:val="nil"/>
              <w:bottom w:val="single" w:color="auto" w:sz="4" w:space="0"/>
              <w:right w:val="single" w:color="auto" w:sz="4" w:space="0"/>
            </w:tcBorders>
            <w:shd w:val="clear" w:color="000000" w:fill="FFFFFF"/>
            <w:noWrap w:val="0"/>
            <w:vAlign w:val="center"/>
          </w:tcPr>
          <w:p w14:paraId="161C7C27">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与原考勤系统平台对接</w:t>
            </w:r>
          </w:p>
        </w:tc>
        <w:tc>
          <w:tcPr>
            <w:tcW w:w="725" w:type="pct"/>
            <w:tcBorders>
              <w:top w:val="nil"/>
              <w:left w:val="nil"/>
              <w:bottom w:val="single" w:color="auto" w:sz="4" w:space="0"/>
              <w:right w:val="single" w:color="auto" w:sz="4" w:space="0"/>
            </w:tcBorders>
            <w:shd w:val="clear" w:color="auto" w:fill="auto"/>
            <w:noWrap w:val="0"/>
            <w:vAlign w:val="center"/>
          </w:tcPr>
          <w:p w14:paraId="14A92E1B">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海康威视</w:t>
            </w:r>
          </w:p>
        </w:tc>
        <w:tc>
          <w:tcPr>
            <w:tcW w:w="299" w:type="pct"/>
            <w:tcBorders>
              <w:top w:val="nil"/>
              <w:left w:val="nil"/>
              <w:bottom w:val="single" w:color="auto" w:sz="4" w:space="0"/>
              <w:right w:val="single" w:color="auto" w:sz="4" w:space="0"/>
            </w:tcBorders>
            <w:shd w:val="clear" w:color="auto" w:fill="auto"/>
            <w:noWrap w:val="0"/>
            <w:vAlign w:val="center"/>
          </w:tcPr>
          <w:p w14:paraId="5C043537">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321" w:type="pct"/>
            <w:tcBorders>
              <w:top w:val="nil"/>
              <w:left w:val="nil"/>
              <w:bottom w:val="single" w:color="auto" w:sz="4" w:space="0"/>
              <w:right w:val="single" w:color="auto" w:sz="4" w:space="0"/>
            </w:tcBorders>
            <w:shd w:val="clear" w:color="000000" w:fill="FFFFFF"/>
            <w:noWrap w:val="0"/>
            <w:vAlign w:val="center"/>
          </w:tcPr>
          <w:p w14:paraId="5147A970">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r>
      <w:tr w14:paraId="11ECFAC0">
        <w:tblPrEx>
          <w:tblCellMar>
            <w:top w:w="0" w:type="dxa"/>
            <w:left w:w="108" w:type="dxa"/>
            <w:bottom w:w="0" w:type="dxa"/>
            <w:right w:w="108" w:type="dxa"/>
          </w:tblCellMar>
        </w:tblPrEx>
        <w:trPr>
          <w:trHeight w:val="20"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0EB59971">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9</w:t>
            </w:r>
          </w:p>
        </w:tc>
        <w:tc>
          <w:tcPr>
            <w:tcW w:w="588" w:type="pct"/>
            <w:tcBorders>
              <w:top w:val="nil"/>
              <w:left w:val="nil"/>
              <w:bottom w:val="single" w:color="auto" w:sz="4" w:space="0"/>
              <w:right w:val="single" w:color="auto" w:sz="4" w:space="0"/>
            </w:tcBorders>
            <w:shd w:val="clear" w:color="auto" w:fill="auto"/>
            <w:noWrap/>
            <w:vAlign w:val="center"/>
          </w:tcPr>
          <w:p w14:paraId="14A37725">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施工服务</w:t>
            </w:r>
          </w:p>
        </w:tc>
        <w:tc>
          <w:tcPr>
            <w:tcW w:w="523" w:type="pct"/>
            <w:tcBorders>
              <w:top w:val="nil"/>
              <w:left w:val="nil"/>
              <w:bottom w:val="single" w:color="auto" w:sz="4" w:space="0"/>
              <w:right w:val="single" w:color="auto" w:sz="4" w:space="0"/>
            </w:tcBorders>
            <w:shd w:val="clear" w:color="000000" w:fill="FFFFFF"/>
            <w:noWrap w:val="0"/>
            <w:vAlign w:val="center"/>
          </w:tcPr>
          <w:p w14:paraId="16596736">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施工服务</w:t>
            </w:r>
          </w:p>
        </w:tc>
        <w:tc>
          <w:tcPr>
            <w:tcW w:w="2153" w:type="pct"/>
            <w:tcBorders>
              <w:top w:val="nil"/>
              <w:left w:val="nil"/>
              <w:bottom w:val="single" w:color="auto" w:sz="4" w:space="0"/>
              <w:right w:val="single" w:color="auto" w:sz="4" w:space="0"/>
            </w:tcBorders>
            <w:shd w:val="clear" w:color="auto" w:fill="auto"/>
            <w:noWrap w:val="0"/>
            <w:vAlign w:val="center"/>
          </w:tcPr>
          <w:p w14:paraId="69401D0C">
            <w:pPr>
              <w:widowControl/>
              <w:spacing w:line="400" w:lineRule="exact"/>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该项目涵盖全市6个县市区及市局，分布20个区域，共计165个摄像机点位；完成所有软硬件安装、调试及老旧设备拆除等服务</w:t>
            </w:r>
          </w:p>
        </w:tc>
        <w:tc>
          <w:tcPr>
            <w:tcW w:w="725" w:type="pct"/>
            <w:tcBorders>
              <w:top w:val="nil"/>
              <w:left w:val="nil"/>
              <w:bottom w:val="single" w:color="auto" w:sz="4" w:space="0"/>
              <w:right w:val="single" w:color="auto" w:sz="4" w:space="0"/>
            </w:tcBorders>
            <w:shd w:val="clear" w:color="auto" w:fill="auto"/>
            <w:noWrap w:val="0"/>
            <w:vAlign w:val="center"/>
          </w:tcPr>
          <w:p w14:paraId="733C5CB1">
            <w:pPr>
              <w:widowControl/>
              <w:spacing w:line="400" w:lineRule="exact"/>
              <w:jc w:val="left"/>
              <w:rPr>
                <w:rFonts w:hint="eastAsia" w:ascii="仿宋_GB2312" w:hAnsi="等线" w:eastAsia="仿宋_GB2312" w:cs="宋体"/>
                <w:color w:val="000000"/>
                <w:kern w:val="0"/>
                <w:szCs w:val="21"/>
              </w:rPr>
            </w:pPr>
          </w:p>
        </w:tc>
        <w:tc>
          <w:tcPr>
            <w:tcW w:w="299" w:type="pct"/>
            <w:tcBorders>
              <w:top w:val="nil"/>
              <w:left w:val="nil"/>
              <w:bottom w:val="single" w:color="auto" w:sz="4" w:space="0"/>
              <w:right w:val="single" w:color="auto" w:sz="4" w:space="0"/>
            </w:tcBorders>
            <w:shd w:val="clear" w:color="auto" w:fill="auto"/>
            <w:noWrap w:val="0"/>
            <w:vAlign w:val="center"/>
          </w:tcPr>
          <w:p w14:paraId="1F0D0746">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136</w:t>
            </w:r>
          </w:p>
        </w:tc>
        <w:tc>
          <w:tcPr>
            <w:tcW w:w="321" w:type="pct"/>
            <w:tcBorders>
              <w:top w:val="nil"/>
              <w:left w:val="nil"/>
              <w:bottom w:val="single" w:color="auto" w:sz="4" w:space="0"/>
              <w:right w:val="single" w:color="auto" w:sz="4" w:space="0"/>
            </w:tcBorders>
            <w:shd w:val="clear" w:color="000000" w:fill="FFFFFF"/>
            <w:noWrap w:val="0"/>
            <w:vAlign w:val="center"/>
          </w:tcPr>
          <w:p w14:paraId="139AEF04">
            <w:pPr>
              <w:widowControl/>
              <w:spacing w:line="400" w:lineRule="exact"/>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人/天</w:t>
            </w:r>
          </w:p>
        </w:tc>
      </w:tr>
    </w:tbl>
    <w:p w14:paraId="71E8743E">
      <w:pPr>
        <w:pStyle w:val="3"/>
        <w:numPr>
          <w:ilvl w:val="0"/>
          <w:numId w:val="1"/>
        </w:numPr>
        <w:spacing w:before="100" w:after="100" w:line="240" w:lineRule="auto"/>
        <w:jc w:val="left"/>
        <w:rPr>
          <w:rFonts w:ascii="宋体" w:hAnsi="宋体" w:eastAsia="宋体" w:cs="仿宋_GB2312"/>
          <w:bCs/>
          <w:sz w:val="24"/>
        </w:rPr>
      </w:pPr>
      <w:bookmarkStart w:id="1" w:name="_Hlk206767687"/>
      <w:r>
        <w:rPr>
          <w:rFonts w:hint="eastAsia" w:ascii="宋体" w:hAnsi="宋体" w:eastAsia="宋体" w:cs="仿宋_GB2312"/>
          <w:bCs/>
          <w:sz w:val="24"/>
        </w:rPr>
        <w:t>履约期限：</w:t>
      </w:r>
    </w:p>
    <w:bookmarkEnd w:id="1"/>
    <w:p w14:paraId="66509010">
      <w:pPr>
        <w:spacing w:line="360" w:lineRule="auto"/>
        <w:ind w:firstLine="440" w:firstLineChars="200"/>
        <w:rPr>
          <w:rFonts w:ascii="宋体" w:hAnsi="宋体" w:cs="仿宋_GB2312"/>
          <w:sz w:val="22"/>
          <w:szCs w:val="22"/>
        </w:rPr>
      </w:pPr>
      <w:bookmarkStart w:id="2" w:name="_Hlk206773984"/>
      <w:r>
        <w:rPr>
          <w:rFonts w:hint="eastAsia" w:ascii="宋体" w:hAnsi="宋体" w:cs="仿宋_GB2312"/>
          <w:sz w:val="22"/>
          <w:szCs w:val="22"/>
        </w:rPr>
        <w:t>自合同签订之日起30天内</w:t>
      </w:r>
      <w:bookmarkStart w:id="3" w:name="_Hlk208222327"/>
      <w:r>
        <w:rPr>
          <w:rFonts w:hint="eastAsia" w:ascii="宋体" w:hAnsi="宋体" w:cs="仿宋_GB2312"/>
          <w:sz w:val="22"/>
          <w:szCs w:val="22"/>
        </w:rPr>
        <w:t>到货并安装调试完毕</w:t>
      </w:r>
      <w:bookmarkEnd w:id="3"/>
      <w:r>
        <w:rPr>
          <w:rFonts w:hint="eastAsia" w:ascii="宋体" w:hAnsi="宋体" w:cs="仿宋_GB2312"/>
          <w:sz w:val="22"/>
          <w:szCs w:val="22"/>
        </w:rPr>
        <w:t>。</w:t>
      </w:r>
    </w:p>
    <w:bookmarkEnd w:id="2"/>
    <w:p w14:paraId="6760F977">
      <w:pPr>
        <w:pStyle w:val="3"/>
        <w:numPr>
          <w:ilvl w:val="0"/>
          <w:numId w:val="1"/>
        </w:numPr>
        <w:spacing w:before="100" w:after="100" w:line="240" w:lineRule="auto"/>
        <w:jc w:val="left"/>
        <w:rPr>
          <w:rFonts w:ascii="宋体" w:hAnsi="宋体" w:eastAsia="宋体" w:cs="仿宋_GB2312"/>
          <w:bCs/>
          <w:sz w:val="24"/>
        </w:rPr>
      </w:pPr>
      <w:r>
        <w:rPr>
          <w:rFonts w:hint="eastAsia" w:ascii="宋体" w:hAnsi="宋体" w:eastAsia="宋体" w:cs="仿宋_GB2312"/>
          <w:bCs/>
          <w:sz w:val="24"/>
        </w:rPr>
        <w:t>履约地点：</w:t>
      </w:r>
    </w:p>
    <w:p w14:paraId="3944C599">
      <w:pPr>
        <w:spacing w:line="360" w:lineRule="auto"/>
        <w:ind w:firstLine="440" w:firstLineChars="200"/>
        <w:rPr>
          <w:rFonts w:hint="eastAsia" w:ascii="宋体" w:hAnsi="宋体" w:cs="仿宋_GB2312"/>
          <w:sz w:val="22"/>
          <w:szCs w:val="22"/>
        </w:rPr>
      </w:pPr>
      <w:r>
        <w:rPr>
          <w:rFonts w:hint="eastAsia" w:ascii="宋体" w:hAnsi="宋体" w:cs="仿宋_GB2312"/>
          <w:sz w:val="22"/>
          <w:szCs w:val="22"/>
        </w:rPr>
        <w:t>湖北省烟草公司咸宁市公司。</w:t>
      </w:r>
    </w:p>
    <w:p w14:paraId="4536D84F">
      <w:pPr>
        <w:pStyle w:val="3"/>
        <w:numPr>
          <w:ilvl w:val="0"/>
          <w:numId w:val="1"/>
        </w:numPr>
        <w:spacing w:before="100" w:after="100" w:line="240" w:lineRule="auto"/>
        <w:jc w:val="left"/>
        <w:rPr>
          <w:rFonts w:hint="eastAsia" w:ascii="宋体" w:hAnsi="宋体" w:eastAsia="宋体" w:cs="仿宋_GB2312"/>
          <w:bCs/>
          <w:sz w:val="24"/>
        </w:rPr>
      </w:pPr>
      <w:r>
        <w:rPr>
          <w:rFonts w:hint="eastAsia" w:ascii="宋体" w:hAnsi="宋体" w:eastAsia="宋体" w:cs="仿宋_GB2312"/>
          <w:bCs/>
          <w:sz w:val="24"/>
        </w:rPr>
        <w:t>付款方式：</w:t>
      </w:r>
    </w:p>
    <w:p w14:paraId="60674C8D">
      <w:pPr>
        <w:spacing w:line="360" w:lineRule="auto"/>
        <w:ind w:firstLine="440" w:firstLineChars="200"/>
        <w:rPr>
          <w:rFonts w:hint="eastAsia" w:ascii="宋体" w:hAnsi="宋体" w:cs="仿宋_GB2312"/>
          <w:sz w:val="22"/>
          <w:szCs w:val="22"/>
        </w:rPr>
      </w:pPr>
      <w:bookmarkStart w:id="4" w:name="_Hlk208301068"/>
      <w:bookmarkStart w:id="5" w:name="_Hlk207811722"/>
      <w:r>
        <w:rPr>
          <w:rFonts w:hint="eastAsia" w:ascii="宋体" w:hAnsi="宋体" w:cs="仿宋_GB2312"/>
          <w:sz w:val="22"/>
          <w:szCs w:val="22"/>
        </w:rPr>
        <w:t>到货且安装调试完毕</w:t>
      </w:r>
      <w:bookmarkEnd w:id="4"/>
      <w:r>
        <w:rPr>
          <w:rFonts w:hint="eastAsia" w:ascii="宋体" w:hAnsi="宋体" w:cs="仿宋_GB2312"/>
          <w:sz w:val="22"/>
          <w:szCs w:val="22"/>
        </w:rPr>
        <w:t>，并经甲乙双方验收合格后，由供应商单位开具全额增值税专用发票，甲方收到发票后30个工作日内支付合同全款的95%，剩余合同全款的5%，合同期满一年后30个工作日内支付清。</w:t>
      </w:r>
    </w:p>
    <w:bookmarkEnd w:id="5"/>
    <w:p w14:paraId="36E16A41">
      <w:pPr>
        <w:pStyle w:val="3"/>
        <w:numPr>
          <w:ilvl w:val="0"/>
          <w:numId w:val="1"/>
        </w:numPr>
        <w:spacing w:before="100" w:after="100" w:line="240" w:lineRule="auto"/>
        <w:jc w:val="left"/>
        <w:rPr>
          <w:rFonts w:ascii="宋体" w:hAnsi="宋体" w:eastAsia="宋体" w:cs="仿宋_GB2312"/>
          <w:bCs/>
          <w:sz w:val="24"/>
        </w:rPr>
      </w:pPr>
      <w:r>
        <w:rPr>
          <w:rFonts w:hint="eastAsia" w:ascii="宋体" w:hAnsi="宋体" w:eastAsia="宋体" w:cs="仿宋_GB2312"/>
          <w:bCs/>
          <w:sz w:val="24"/>
        </w:rPr>
        <w:t>质量要求：</w:t>
      </w:r>
    </w:p>
    <w:p w14:paraId="45683550">
      <w:pPr>
        <w:spacing w:line="360" w:lineRule="auto"/>
        <w:ind w:firstLine="440" w:firstLineChars="200"/>
        <w:rPr>
          <w:rFonts w:hint="eastAsia" w:ascii="宋体" w:hAnsi="宋体" w:cs="仿宋_GB2312"/>
          <w:sz w:val="22"/>
          <w:szCs w:val="22"/>
        </w:rPr>
      </w:pPr>
      <w:bookmarkStart w:id="6" w:name="_Hlk206774100"/>
      <w:r>
        <w:rPr>
          <w:rFonts w:hint="eastAsia" w:ascii="宋体" w:hAnsi="宋体" w:cs="仿宋_GB2312"/>
          <w:sz w:val="22"/>
          <w:szCs w:val="22"/>
        </w:rPr>
        <w:t>1.乙方按合同清单提供货物，所供货物是全新的、未使用过的，并完全符合甲方采购需求规定的品牌、质量、规格和性能要求并有质量证书和技术性能指标资料，乙方提供的产品不符合质量要求，造成甲方设备损坏的，乙方负责赔偿。</w:t>
      </w:r>
    </w:p>
    <w:p w14:paraId="57A72BE5">
      <w:pPr>
        <w:spacing w:line="360" w:lineRule="auto"/>
        <w:ind w:firstLine="440" w:firstLineChars="200"/>
        <w:rPr>
          <w:rFonts w:hint="eastAsia" w:ascii="宋体" w:hAnsi="宋体" w:cs="仿宋_GB2312"/>
          <w:sz w:val="22"/>
          <w:szCs w:val="22"/>
        </w:rPr>
      </w:pPr>
      <w:r>
        <w:rPr>
          <w:rFonts w:hint="eastAsia" w:ascii="宋体" w:hAnsi="宋体" w:cs="仿宋_GB2312"/>
          <w:sz w:val="22"/>
          <w:szCs w:val="22"/>
        </w:rPr>
        <w:t>2.符合《中华人民共和国产品质量法》及相关质量标准的强制性要求,并且提供货物的数量、品种、规格等须与合同约定的要求相一致。</w:t>
      </w:r>
    </w:p>
    <w:p w14:paraId="58BB1B73">
      <w:pPr>
        <w:spacing w:line="360" w:lineRule="auto"/>
        <w:ind w:firstLine="440" w:firstLineChars="200"/>
        <w:rPr>
          <w:rFonts w:hint="eastAsia" w:ascii="宋体" w:hAnsi="宋体" w:cs="仿宋_GB2312"/>
          <w:sz w:val="22"/>
          <w:szCs w:val="22"/>
        </w:rPr>
      </w:pPr>
      <w:r>
        <w:rPr>
          <w:rFonts w:hint="eastAsia" w:ascii="宋体" w:hAnsi="宋体" w:cs="仿宋_GB2312"/>
          <w:sz w:val="22"/>
          <w:szCs w:val="22"/>
        </w:rPr>
        <w:t>3.乙方根据合同要求的工作进度和合同双方的责任分工负责合同货物的安装调试，甲方将派相关人员参加。乙方工作人员在安装过程中应遵守甲方规章制度，不影响甲方正常工作，不得损害甲方财物，否则乙方负责按当前市场价全额赔偿。。</w:t>
      </w:r>
    </w:p>
    <w:p w14:paraId="4F585BA1">
      <w:pPr>
        <w:spacing w:line="360" w:lineRule="auto"/>
        <w:ind w:firstLine="440" w:firstLineChars="200"/>
        <w:rPr>
          <w:rFonts w:ascii="宋体" w:hAnsi="宋体" w:cs="仿宋_GB2312"/>
          <w:sz w:val="22"/>
          <w:szCs w:val="22"/>
        </w:rPr>
      </w:pPr>
      <w:r>
        <w:rPr>
          <w:rFonts w:hint="eastAsia" w:ascii="宋体" w:hAnsi="宋体" w:cs="仿宋_GB2312"/>
          <w:sz w:val="22"/>
          <w:szCs w:val="22"/>
        </w:rPr>
        <w:t>4.乙方负责派遣熟练、有经验的技术人员，对合同设备进行实施部署、联调测试，并可根据甲方实际需要，提供电话支持、现场服务、设备维修与更换、软件版本升级与增强、后期技术培训、技术后援支持等内容。</w:t>
      </w:r>
      <w:bookmarkEnd w:id="6"/>
    </w:p>
    <w:p w14:paraId="4045DF56">
      <w:pPr>
        <w:pStyle w:val="3"/>
        <w:numPr>
          <w:ilvl w:val="0"/>
          <w:numId w:val="1"/>
        </w:numPr>
        <w:spacing w:before="100" w:after="100" w:line="240" w:lineRule="auto"/>
        <w:jc w:val="left"/>
        <w:rPr>
          <w:rFonts w:ascii="宋体" w:hAnsi="宋体" w:eastAsia="宋体" w:cs="仿宋_GB2312"/>
          <w:bCs/>
          <w:sz w:val="24"/>
        </w:rPr>
      </w:pPr>
      <w:bookmarkStart w:id="7" w:name="_Hlk206771244"/>
      <w:r>
        <w:rPr>
          <w:rFonts w:hint="eastAsia" w:ascii="宋体" w:hAnsi="宋体" w:eastAsia="宋体" w:cs="仿宋_GB2312"/>
          <w:bCs/>
          <w:sz w:val="24"/>
        </w:rPr>
        <w:t>验收要求：</w:t>
      </w:r>
    </w:p>
    <w:p w14:paraId="25BD1435">
      <w:pPr>
        <w:autoSpaceDE w:val="0"/>
        <w:autoSpaceDN w:val="0"/>
        <w:adjustRightInd w:val="0"/>
        <w:spacing w:line="360" w:lineRule="auto"/>
        <w:ind w:firstLine="440" w:firstLineChars="200"/>
        <w:jc w:val="left"/>
        <w:rPr>
          <w:rFonts w:hint="eastAsia" w:ascii="宋体" w:hAnsi="宋体" w:cs="仿宋_GB2312"/>
          <w:sz w:val="22"/>
          <w:szCs w:val="22"/>
        </w:rPr>
      </w:pPr>
      <w:r>
        <w:rPr>
          <w:rFonts w:hint="eastAsia" w:ascii="宋体" w:hAnsi="宋体" w:cs="仿宋_GB2312"/>
          <w:sz w:val="22"/>
          <w:szCs w:val="22"/>
        </w:rPr>
        <w:t>1、验收方法：两次验收。</w:t>
      </w:r>
    </w:p>
    <w:p w14:paraId="2F211A36">
      <w:pPr>
        <w:autoSpaceDE w:val="0"/>
        <w:autoSpaceDN w:val="0"/>
        <w:adjustRightInd w:val="0"/>
        <w:spacing w:line="360" w:lineRule="auto"/>
        <w:ind w:firstLine="440" w:firstLineChars="200"/>
        <w:jc w:val="left"/>
        <w:rPr>
          <w:rFonts w:hint="eastAsia" w:ascii="宋体" w:hAnsi="宋体" w:cs="仿宋_GB2312"/>
          <w:sz w:val="22"/>
          <w:szCs w:val="22"/>
        </w:rPr>
      </w:pPr>
      <w:r>
        <w:rPr>
          <w:rFonts w:hint="eastAsia" w:ascii="宋体" w:hAnsi="宋体" w:cs="仿宋_GB2312"/>
          <w:sz w:val="22"/>
          <w:szCs w:val="22"/>
        </w:rPr>
        <w:t xml:space="preserve">2、验收条件： </w:t>
      </w:r>
    </w:p>
    <w:p w14:paraId="4719F280">
      <w:pPr>
        <w:autoSpaceDE w:val="0"/>
        <w:autoSpaceDN w:val="0"/>
        <w:adjustRightInd w:val="0"/>
        <w:spacing w:line="360" w:lineRule="auto"/>
        <w:ind w:firstLine="440" w:firstLineChars="200"/>
        <w:jc w:val="left"/>
        <w:rPr>
          <w:rFonts w:ascii="宋体" w:hAnsi="宋体" w:cs="仿宋_GB2312"/>
          <w:sz w:val="22"/>
          <w:szCs w:val="22"/>
        </w:rPr>
      </w:pPr>
      <w:r>
        <w:rPr>
          <w:rFonts w:hint="eastAsia" w:ascii="宋体" w:hAnsi="宋体" w:cs="仿宋_GB2312"/>
          <w:sz w:val="22"/>
          <w:szCs w:val="22"/>
        </w:rPr>
        <w:t>2.1．第一次验收：乙方在合同约定时间内完成供货，所有货物及产品已在甲方指定的地点内完成上架、安装、调试，并稳定运行。</w:t>
      </w:r>
    </w:p>
    <w:p w14:paraId="58B0DD6B">
      <w:pPr>
        <w:autoSpaceDE w:val="0"/>
        <w:autoSpaceDN w:val="0"/>
        <w:adjustRightInd w:val="0"/>
        <w:spacing w:line="360" w:lineRule="auto"/>
        <w:ind w:firstLine="440" w:firstLineChars="200"/>
        <w:jc w:val="left"/>
        <w:rPr>
          <w:rFonts w:hint="eastAsia" w:ascii="宋体" w:hAnsi="宋体" w:cs="仿宋_GB2312"/>
          <w:sz w:val="22"/>
          <w:szCs w:val="22"/>
        </w:rPr>
      </w:pPr>
      <w:r>
        <w:rPr>
          <w:rFonts w:hint="eastAsia" w:ascii="宋体" w:hAnsi="宋体" w:cs="仿宋_GB2312"/>
          <w:sz w:val="22"/>
          <w:szCs w:val="22"/>
        </w:rPr>
        <w:t>2.2. 第二次验收：合同期满一年后，设备运行正常且无故障。</w:t>
      </w:r>
    </w:p>
    <w:p w14:paraId="6AB771FF">
      <w:pPr>
        <w:autoSpaceDE w:val="0"/>
        <w:autoSpaceDN w:val="0"/>
        <w:adjustRightInd w:val="0"/>
        <w:spacing w:line="360" w:lineRule="auto"/>
        <w:ind w:firstLine="440" w:firstLineChars="200"/>
        <w:jc w:val="left"/>
        <w:rPr>
          <w:rFonts w:ascii="宋体" w:hAnsi="宋体" w:cs="仿宋_GB2312"/>
          <w:sz w:val="22"/>
          <w:szCs w:val="22"/>
        </w:rPr>
      </w:pPr>
      <w:r>
        <w:rPr>
          <w:rFonts w:hint="eastAsia" w:ascii="宋体" w:hAnsi="宋体" w:cs="仿宋_GB2312"/>
          <w:sz w:val="22"/>
          <w:szCs w:val="22"/>
        </w:rPr>
        <w:t>3、验收内容：</w:t>
      </w:r>
    </w:p>
    <w:p w14:paraId="14955FE0">
      <w:pPr>
        <w:autoSpaceDE w:val="0"/>
        <w:autoSpaceDN w:val="0"/>
        <w:adjustRightInd w:val="0"/>
        <w:spacing w:line="360" w:lineRule="auto"/>
        <w:ind w:firstLine="440" w:firstLineChars="200"/>
        <w:jc w:val="left"/>
        <w:rPr>
          <w:rFonts w:ascii="宋体" w:hAnsi="宋体" w:cs="仿宋_GB2312"/>
          <w:sz w:val="22"/>
          <w:szCs w:val="22"/>
        </w:rPr>
      </w:pPr>
      <w:r>
        <w:rPr>
          <w:rFonts w:hint="eastAsia" w:ascii="宋体" w:hAnsi="宋体" w:cs="仿宋_GB2312"/>
          <w:sz w:val="22"/>
          <w:szCs w:val="22"/>
        </w:rPr>
        <w:t>3.1.</w:t>
      </w:r>
      <w:r>
        <w:rPr>
          <w:rFonts w:hint="eastAsia"/>
        </w:rPr>
        <w:t xml:space="preserve"> </w:t>
      </w:r>
      <w:r>
        <w:rPr>
          <w:rFonts w:hint="eastAsia" w:ascii="宋体" w:hAnsi="宋体" w:cs="仿宋_GB2312"/>
          <w:sz w:val="22"/>
          <w:szCs w:val="22"/>
        </w:rPr>
        <w:t>第一次验收：乙方提供经甲乙双方认可的到货确认单，验收报告。</w:t>
      </w:r>
    </w:p>
    <w:p w14:paraId="4CCCC747">
      <w:pPr>
        <w:autoSpaceDE w:val="0"/>
        <w:autoSpaceDN w:val="0"/>
        <w:adjustRightInd w:val="0"/>
        <w:spacing w:line="360" w:lineRule="auto"/>
        <w:ind w:firstLine="440" w:firstLineChars="200"/>
        <w:jc w:val="left"/>
        <w:rPr>
          <w:rFonts w:ascii="宋体" w:hAnsi="宋体" w:cs="仿宋_GB2312"/>
          <w:sz w:val="22"/>
          <w:szCs w:val="22"/>
        </w:rPr>
      </w:pPr>
      <w:r>
        <w:rPr>
          <w:rFonts w:hint="eastAsia" w:ascii="宋体" w:hAnsi="宋体" w:cs="仿宋_GB2312"/>
          <w:sz w:val="22"/>
          <w:szCs w:val="22"/>
        </w:rPr>
        <w:t>3.2.</w:t>
      </w:r>
      <w:r>
        <w:rPr>
          <w:rFonts w:hint="eastAsia"/>
        </w:rPr>
        <w:t xml:space="preserve"> </w:t>
      </w:r>
      <w:r>
        <w:rPr>
          <w:rFonts w:hint="eastAsia" w:ascii="宋体" w:hAnsi="宋体" w:cs="仿宋_GB2312"/>
          <w:sz w:val="22"/>
          <w:szCs w:val="22"/>
        </w:rPr>
        <w:t>第二次验收：乙方提供合同期满一年后的验收报告。</w:t>
      </w:r>
    </w:p>
    <w:p w14:paraId="5D54617F">
      <w:pPr>
        <w:autoSpaceDE w:val="0"/>
        <w:autoSpaceDN w:val="0"/>
        <w:adjustRightInd w:val="0"/>
        <w:spacing w:line="360" w:lineRule="auto"/>
        <w:ind w:firstLine="440" w:firstLineChars="200"/>
        <w:jc w:val="left"/>
        <w:rPr>
          <w:rFonts w:ascii="宋体" w:hAnsi="宋体" w:cs="仿宋_GB2312"/>
          <w:sz w:val="22"/>
          <w:szCs w:val="22"/>
        </w:rPr>
      </w:pPr>
      <w:r>
        <w:rPr>
          <w:rFonts w:hint="eastAsia" w:ascii="宋体" w:hAnsi="宋体" w:cs="仿宋_GB2312"/>
          <w:sz w:val="22"/>
          <w:szCs w:val="22"/>
        </w:rPr>
        <w:t>4、验收标准：</w:t>
      </w:r>
    </w:p>
    <w:p w14:paraId="7D066AD5">
      <w:pPr>
        <w:autoSpaceDE w:val="0"/>
        <w:autoSpaceDN w:val="0"/>
        <w:adjustRightInd w:val="0"/>
        <w:spacing w:line="360" w:lineRule="auto"/>
        <w:ind w:firstLine="440" w:firstLineChars="200"/>
        <w:jc w:val="left"/>
        <w:rPr>
          <w:rFonts w:ascii="宋体" w:hAnsi="宋体" w:cs="仿宋_GB2312"/>
          <w:sz w:val="22"/>
          <w:szCs w:val="22"/>
        </w:rPr>
      </w:pPr>
      <w:r>
        <w:rPr>
          <w:rFonts w:hint="eastAsia" w:ascii="宋体" w:hAnsi="宋体" w:cs="仿宋_GB2312"/>
          <w:sz w:val="22"/>
          <w:szCs w:val="22"/>
        </w:rPr>
        <w:t>4.1.乙方提供的货物符合本合同的约定；</w:t>
      </w:r>
    </w:p>
    <w:p w14:paraId="57DDA316">
      <w:pPr>
        <w:autoSpaceDE w:val="0"/>
        <w:autoSpaceDN w:val="0"/>
        <w:adjustRightInd w:val="0"/>
        <w:spacing w:line="360" w:lineRule="auto"/>
        <w:ind w:firstLine="440" w:firstLineChars="200"/>
        <w:jc w:val="left"/>
        <w:rPr>
          <w:rFonts w:hint="eastAsia" w:ascii="宋体" w:hAnsi="宋体" w:cs="仿宋_GB2312"/>
          <w:sz w:val="22"/>
          <w:szCs w:val="22"/>
        </w:rPr>
      </w:pPr>
      <w:r>
        <w:rPr>
          <w:rFonts w:hint="eastAsia" w:ascii="宋体" w:hAnsi="宋体" w:cs="仿宋_GB2312"/>
          <w:sz w:val="22"/>
          <w:szCs w:val="22"/>
        </w:rPr>
        <w:t>4.2.</w:t>
      </w:r>
      <w:r>
        <w:rPr>
          <w:rFonts w:hint="eastAsia"/>
        </w:rPr>
        <w:t>乙方</w:t>
      </w:r>
      <w:r>
        <w:rPr>
          <w:rFonts w:hint="eastAsia" w:ascii="宋体" w:hAnsi="宋体" w:cs="仿宋_GB2312"/>
          <w:sz w:val="22"/>
          <w:szCs w:val="22"/>
        </w:rPr>
        <w:t>完成云智慧安防监控项目安装调试等工作,</w:t>
      </w:r>
      <w:r>
        <w:rPr>
          <w:rFonts w:hint="eastAsia"/>
        </w:rPr>
        <w:t xml:space="preserve"> </w:t>
      </w:r>
      <w:r>
        <w:rPr>
          <w:rFonts w:hint="eastAsia" w:ascii="宋体" w:hAnsi="宋体" w:cs="仿宋_GB2312"/>
          <w:sz w:val="22"/>
          <w:szCs w:val="22"/>
        </w:rPr>
        <w:t xml:space="preserve">各设备均能正常运行。 </w:t>
      </w:r>
    </w:p>
    <w:p w14:paraId="7D85BA6B">
      <w:pPr>
        <w:autoSpaceDE w:val="0"/>
        <w:autoSpaceDN w:val="0"/>
        <w:adjustRightInd w:val="0"/>
        <w:spacing w:line="360" w:lineRule="auto"/>
        <w:ind w:firstLine="440" w:firstLineChars="200"/>
        <w:jc w:val="left"/>
        <w:rPr>
          <w:rFonts w:ascii="宋体" w:hAnsi="宋体" w:cs="仿宋_GB2312"/>
          <w:sz w:val="22"/>
          <w:szCs w:val="22"/>
        </w:rPr>
      </w:pPr>
      <w:r>
        <w:rPr>
          <w:rFonts w:hint="eastAsia" w:ascii="宋体" w:hAnsi="宋体" w:cs="仿宋_GB2312"/>
          <w:sz w:val="22"/>
          <w:szCs w:val="22"/>
        </w:rPr>
        <w:t>5、验收时间：</w:t>
      </w:r>
    </w:p>
    <w:p w14:paraId="448283E0">
      <w:pPr>
        <w:autoSpaceDE w:val="0"/>
        <w:autoSpaceDN w:val="0"/>
        <w:adjustRightInd w:val="0"/>
        <w:spacing w:line="360" w:lineRule="auto"/>
        <w:ind w:firstLine="440" w:firstLineChars="200"/>
        <w:jc w:val="left"/>
        <w:rPr>
          <w:rFonts w:ascii="宋体" w:hAnsi="宋体" w:cs="仿宋_GB2312"/>
          <w:sz w:val="22"/>
          <w:szCs w:val="22"/>
        </w:rPr>
      </w:pPr>
      <w:r>
        <w:rPr>
          <w:rFonts w:hint="eastAsia" w:ascii="宋体" w:hAnsi="宋体" w:cs="仿宋_GB2312"/>
          <w:sz w:val="22"/>
          <w:szCs w:val="22"/>
        </w:rPr>
        <w:t>5.1.第一次验收：到货且安装调试完毕后，一月内完成验收。</w:t>
      </w:r>
    </w:p>
    <w:p w14:paraId="2E2F0601">
      <w:pPr>
        <w:autoSpaceDE w:val="0"/>
        <w:autoSpaceDN w:val="0"/>
        <w:adjustRightInd w:val="0"/>
        <w:spacing w:line="360" w:lineRule="auto"/>
        <w:ind w:firstLine="440" w:firstLineChars="200"/>
        <w:jc w:val="left"/>
        <w:rPr>
          <w:rFonts w:hint="eastAsia" w:ascii="宋体" w:hAnsi="宋体" w:cs="仿宋_GB2312"/>
          <w:sz w:val="22"/>
          <w:szCs w:val="22"/>
        </w:rPr>
      </w:pPr>
      <w:r>
        <w:rPr>
          <w:rFonts w:hint="eastAsia" w:ascii="宋体" w:hAnsi="宋体" w:cs="仿宋_GB2312"/>
          <w:sz w:val="22"/>
          <w:szCs w:val="22"/>
        </w:rPr>
        <w:t>5.2.第二次验收：合同期满一年后，一月内完成验收。</w:t>
      </w:r>
    </w:p>
    <w:bookmarkEnd w:id="0"/>
    <w:bookmarkEnd w:id="7"/>
    <w:p w14:paraId="0EFE4808">
      <w:pPr>
        <w:pStyle w:val="3"/>
        <w:numPr>
          <w:ilvl w:val="0"/>
          <w:numId w:val="1"/>
        </w:numPr>
        <w:spacing w:before="100" w:after="100" w:line="240" w:lineRule="auto"/>
        <w:jc w:val="left"/>
        <w:rPr>
          <w:rFonts w:ascii="宋体" w:hAnsi="宋体" w:eastAsia="宋体" w:cs="仿宋_GB2312"/>
          <w:bCs/>
          <w:sz w:val="24"/>
        </w:rPr>
      </w:pPr>
      <w:r>
        <w:rPr>
          <w:rFonts w:hint="eastAsia" w:ascii="宋体" w:hAnsi="宋体" w:eastAsia="宋体" w:cs="仿宋_GB2312"/>
          <w:bCs/>
          <w:sz w:val="24"/>
        </w:rPr>
        <w:t>质保要求：</w:t>
      </w:r>
    </w:p>
    <w:p w14:paraId="1575F6BD">
      <w:pPr>
        <w:spacing w:line="360" w:lineRule="auto"/>
        <w:ind w:firstLine="440" w:firstLineChars="200"/>
        <w:rPr>
          <w:rFonts w:hint="eastAsia" w:ascii="宋体" w:hAnsi="宋体" w:cs="仿宋_GB2312"/>
          <w:sz w:val="22"/>
          <w:szCs w:val="22"/>
        </w:rPr>
      </w:pPr>
      <w:r>
        <w:rPr>
          <w:rFonts w:hint="eastAsia" w:ascii="宋体" w:hAnsi="宋体" w:cs="仿宋_GB2312"/>
          <w:sz w:val="22"/>
          <w:szCs w:val="22"/>
        </w:rPr>
        <w:t>1.提供三年保修，保修期内出现任何质量问题或者故障，乙方应在不影响甲方生产经营活动的前提下完成故障处置或者设备更换，若因故障或质量问题造成甲方损失，则所有损失由乙方承担。</w:t>
      </w:r>
    </w:p>
    <w:p w14:paraId="5A0550DE">
      <w:pPr>
        <w:spacing w:line="360" w:lineRule="auto"/>
        <w:ind w:firstLine="440" w:firstLineChars="200"/>
        <w:rPr>
          <w:rFonts w:hint="eastAsia" w:ascii="宋体" w:hAnsi="宋体" w:cs="仿宋_GB2312"/>
          <w:sz w:val="22"/>
          <w:szCs w:val="22"/>
        </w:rPr>
      </w:pPr>
      <w:r>
        <w:rPr>
          <w:rFonts w:hint="eastAsia" w:ascii="宋体" w:hAnsi="宋体" w:cs="仿宋_GB2312"/>
          <w:sz w:val="22"/>
          <w:szCs w:val="22"/>
        </w:rPr>
        <w:t>2.在保修期内，乙方承诺向甲方提供免费服务，服务方式包括7*24小时响应、电话技术支持、远程技术支持、现场技术支持等，提供技术人员支持软硬件使用过程中发生的所有问题和故障，需在1小时内及时回应并对故障设备进行原因查找并完成修复，在2小时内不能修复的故障设备，应提供与原设备功能相当的设备进行替换，需要在24小时内更换完毕，确保系统正常运行。</w:t>
      </w:r>
    </w:p>
    <w:p w14:paraId="1E5760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E0B6E"/>
    <w:multiLevelType w:val="multilevel"/>
    <w:tmpl w:val="252E0B6E"/>
    <w:lvl w:ilvl="0" w:tentative="0">
      <w:start w:val="1"/>
      <w:numFmt w:val="japaneseCounting"/>
      <w:lvlText w:val="%1、"/>
      <w:lvlJc w:val="left"/>
      <w:pPr>
        <w:ind w:left="510" w:hanging="51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4651E"/>
    <w:rsid w:val="53946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2025-09-11T07:06:00Z</dcterms:created>
  <dc:creator>顾梦</dc:creator>
  <cp:lastModifiedBy>顾梦</cp:lastModifiedBy>
  <dcterms:modified xsi:type="dcterms:W3CDTF">2025-09-11T07:06:31Z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C2A4E97FA0F844E09E4C87D4D8042467_11</vt:lpwstr>
  </property>
  <property fmtid="{D5CDD505-2E9C-101B-9397-08002B2CF9AE}" pid="4" name="KSOTemplateDocerSaveRecord">
    <vt:lpwstr>eyJoZGlkIjoiYzY5N2EwYWQ1Yzc3OGE4MmU5ZDI3MWU3OTkyZDM3NGMiLCJ1c2VySWQiOiI0MDQwNzE2MzYifQ==</vt:lpwstr>
  </property>
</Properties>
</file>