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CB" w:rsidRPr="00FE314D" w:rsidRDefault="001118CB" w:rsidP="001118CB">
      <w:pPr>
        <w:pStyle w:val="1"/>
        <w:jc w:val="center"/>
        <w:rPr>
          <w:rFonts w:ascii="宋体" w:hAnsi="宋体" w:cs="仿宋_GB2312"/>
          <w:sz w:val="48"/>
          <w:szCs w:val="48"/>
        </w:rPr>
      </w:pPr>
      <w:r w:rsidRPr="00FE314D">
        <w:rPr>
          <w:rFonts w:ascii="宋体" w:hAnsi="宋体" w:cs="仿宋_GB2312" w:hint="eastAsia"/>
          <w:sz w:val="48"/>
          <w:szCs w:val="48"/>
        </w:rPr>
        <w:t>采购需求</w:t>
      </w:r>
    </w:p>
    <w:p w:rsidR="001118CB" w:rsidRDefault="001118CB" w:rsidP="001118CB">
      <w:pPr>
        <w:pStyle w:val="2"/>
        <w:numPr>
          <w:ilvl w:val="0"/>
          <w:numId w:val="1"/>
        </w:numPr>
        <w:spacing w:before="100" w:after="100" w:line="240" w:lineRule="auto"/>
        <w:jc w:val="left"/>
        <w:rPr>
          <w:rFonts w:ascii="宋体" w:eastAsia="宋体" w:hAnsi="宋体" w:cs="仿宋_GB2312"/>
          <w:bCs/>
          <w:sz w:val="24"/>
        </w:rPr>
      </w:pPr>
      <w:bookmarkStart w:id="0" w:name="_Hlk196924377"/>
      <w:r>
        <w:rPr>
          <w:rFonts w:ascii="宋体" w:eastAsia="宋体" w:hAnsi="宋体" w:cs="仿宋_GB2312" w:hint="eastAsia"/>
          <w:bCs/>
          <w:sz w:val="24"/>
        </w:rPr>
        <w:t>采购内容：</w:t>
      </w:r>
    </w:p>
    <w:p w:rsidR="001118CB" w:rsidRDefault="001118CB" w:rsidP="001118CB">
      <w:pPr>
        <w:spacing w:line="360" w:lineRule="auto"/>
        <w:ind w:firstLineChars="200" w:firstLine="440"/>
        <w:rPr>
          <w:rFonts w:ascii="宋体" w:hAnsi="宋体" w:cs="仿宋_GB2312"/>
          <w:sz w:val="22"/>
          <w:szCs w:val="22"/>
        </w:rPr>
      </w:pPr>
      <w:r w:rsidRPr="00E2669A">
        <w:rPr>
          <w:rFonts w:ascii="宋体" w:hAnsi="宋体" w:cs="仿宋_GB2312" w:hint="eastAsia"/>
          <w:sz w:val="22"/>
          <w:szCs w:val="22"/>
        </w:rPr>
        <w:t>信息化运维服务</w:t>
      </w:r>
      <w:r w:rsidRPr="003C5FE3">
        <w:rPr>
          <w:rFonts w:ascii="宋体" w:hAnsi="宋体" w:cs="仿宋_GB2312" w:hint="eastAsia"/>
          <w:sz w:val="22"/>
          <w:szCs w:val="2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3"/>
        <w:gridCol w:w="5014"/>
        <w:gridCol w:w="2139"/>
      </w:tblGrid>
      <w:tr w:rsidR="001118CB" w:rsidRPr="006A1B3E" w:rsidTr="0014581C">
        <w:trPr>
          <w:trHeight w:val="261"/>
          <w:jc w:val="center"/>
        </w:trPr>
        <w:tc>
          <w:tcPr>
            <w:tcW w:w="689" w:type="pct"/>
            <w:vAlign w:val="center"/>
          </w:tcPr>
          <w:p w:rsidR="001118CB" w:rsidRPr="00FE30F0" w:rsidRDefault="001118CB" w:rsidP="0014581C">
            <w:pPr>
              <w:autoSpaceDE w:val="0"/>
              <w:autoSpaceDN w:val="0"/>
              <w:adjustRightInd w:val="0"/>
              <w:spacing w:line="360" w:lineRule="auto"/>
              <w:contextualSpacing/>
              <w:jc w:val="center"/>
              <w:rPr>
                <w:rFonts w:ascii="宋体" w:hAnsi="宋体" w:hint="eastAsia"/>
                <w:b/>
                <w:bCs/>
                <w:sz w:val="24"/>
              </w:rPr>
            </w:pPr>
            <w:r w:rsidRPr="00FE30F0">
              <w:rPr>
                <w:rFonts w:ascii="宋体" w:hAnsi="宋体" w:hint="eastAsia"/>
                <w:b/>
                <w:bCs/>
                <w:sz w:val="24"/>
              </w:rPr>
              <w:t>序号</w:t>
            </w:r>
          </w:p>
        </w:tc>
        <w:tc>
          <w:tcPr>
            <w:tcW w:w="3022" w:type="pct"/>
            <w:vAlign w:val="center"/>
          </w:tcPr>
          <w:p w:rsidR="001118CB" w:rsidRPr="00FE30F0" w:rsidRDefault="001118CB" w:rsidP="0014581C">
            <w:pPr>
              <w:autoSpaceDE w:val="0"/>
              <w:autoSpaceDN w:val="0"/>
              <w:adjustRightInd w:val="0"/>
              <w:spacing w:line="360" w:lineRule="auto"/>
              <w:contextualSpacing/>
              <w:jc w:val="center"/>
              <w:rPr>
                <w:rFonts w:ascii="宋体" w:hAnsi="宋体" w:hint="eastAsia"/>
                <w:b/>
                <w:bCs/>
                <w:sz w:val="24"/>
              </w:rPr>
            </w:pPr>
            <w:r w:rsidRPr="00FE30F0">
              <w:rPr>
                <w:rFonts w:ascii="宋体" w:hAnsi="宋体" w:hint="eastAsia"/>
                <w:b/>
                <w:bCs/>
                <w:sz w:val="24"/>
              </w:rPr>
              <w:t>服务名称</w:t>
            </w:r>
          </w:p>
        </w:tc>
        <w:tc>
          <w:tcPr>
            <w:tcW w:w="1289" w:type="pct"/>
            <w:vAlign w:val="center"/>
          </w:tcPr>
          <w:p w:rsidR="001118CB" w:rsidRPr="00FE30F0" w:rsidRDefault="001118CB" w:rsidP="0014581C">
            <w:pPr>
              <w:autoSpaceDE w:val="0"/>
              <w:autoSpaceDN w:val="0"/>
              <w:adjustRightInd w:val="0"/>
              <w:spacing w:line="360" w:lineRule="auto"/>
              <w:contextualSpacing/>
              <w:jc w:val="center"/>
              <w:rPr>
                <w:rFonts w:ascii="宋体" w:hAnsi="宋体" w:hint="eastAsia"/>
                <w:b/>
                <w:bCs/>
                <w:sz w:val="24"/>
              </w:rPr>
            </w:pPr>
            <w:r>
              <w:rPr>
                <w:rFonts w:ascii="宋体" w:hAnsi="宋体" w:hint="eastAsia"/>
                <w:b/>
                <w:bCs/>
                <w:sz w:val="24"/>
              </w:rPr>
              <w:t>服务地点</w:t>
            </w:r>
          </w:p>
        </w:tc>
      </w:tr>
      <w:tr w:rsidR="001118CB" w:rsidRPr="006A1B3E" w:rsidTr="0014581C">
        <w:trPr>
          <w:trHeight w:val="331"/>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sz w:val="24"/>
              </w:rPr>
              <w:t>1</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网络</w:t>
            </w:r>
            <w:proofErr w:type="gramStart"/>
            <w:r w:rsidRPr="006A1B3E">
              <w:rPr>
                <w:rFonts w:ascii="宋体" w:hAnsi="宋体" w:hint="eastAsia"/>
                <w:color w:val="000000"/>
                <w:sz w:val="24"/>
              </w:rPr>
              <w:t>安全运</w:t>
            </w:r>
            <w:proofErr w:type="gramEnd"/>
            <w:r w:rsidRPr="006A1B3E">
              <w:rPr>
                <w:rFonts w:ascii="宋体" w:hAnsi="宋体" w:hint="eastAsia"/>
                <w:color w:val="000000"/>
                <w:sz w:val="24"/>
              </w:rPr>
              <w:t>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武汉</w:t>
            </w:r>
          </w:p>
        </w:tc>
      </w:tr>
      <w:tr w:rsidR="001118CB" w:rsidRPr="006A1B3E" w:rsidTr="0014581C">
        <w:trPr>
          <w:trHeight w:val="282"/>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sz w:val="24"/>
              </w:rPr>
              <w:t>2</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终端运维服务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武汉</w:t>
            </w:r>
          </w:p>
        </w:tc>
      </w:tr>
      <w:tr w:rsidR="001118CB" w:rsidRPr="006A1B3E" w:rsidTr="0014581C">
        <w:trPr>
          <w:trHeight w:val="303"/>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sz w:val="24"/>
              </w:rPr>
              <w:t>3</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终端运维服务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十堰</w:t>
            </w:r>
          </w:p>
        </w:tc>
      </w:tr>
      <w:tr w:rsidR="001118CB" w:rsidRPr="006A1B3E" w:rsidTr="0014581C">
        <w:trPr>
          <w:trHeight w:val="303"/>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sz w:val="24"/>
              </w:rPr>
              <w:t>4</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终端运维服务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孝感</w:t>
            </w:r>
          </w:p>
        </w:tc>
      </w:tr>
      <w:tr w:rsidR="001118CB" w:rsidRPr="006A1B3E" w:rsidTr="0014581C">
        <w:trPr>
          <w:trHeight w:val="303"/>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sz w:val="24"/>
              </w:rPr>
              <w:t>5</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终端运维服务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黄石</w:t>
            </w:r>
          </w:p>
        </w:tc>
      </w:tr>
      <w:tr w:rsidR="001118CB" w:rsidRPr="006A1B3E" w:rsidTr="0014581C">
        <w:trPr>
          <w:trHeight w:val="303"/>
          <w:jc w:val="center"/>
        </w:trPr>
        <w:tc>
          <w:tcPr>
            <w:tcW w:w="6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sz w:val="24"/>
              </w:rPr>
              <w:t>6</w:t>
            </w:r>
          </w:p>
        </w:tc>
        <w:tc>
          <w:tcPr>
            <w:tcW w:w="3022"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color w:val="000000"/>
                <w:sz w:val="24"/>
              </w:rPr>
            </w:pPr>
            <w:r w:rsidRPr="006A1B3E">
              <w:rPr>
                <w:rFonts w:ascii="宋体" w:hAnsi="宋体" w:hint="eastAsia"/>
                <w:color w:val="000000"/>
                <w:sz w:val="24"/>
              </w:rPr>
              <w:t>开发运维服务</w:t>
            </w:r>
          </w:p>
        </w:tc>
        <w:tc>
          <w:tcPr>
            <w:tcW w:w="1289" w:type="pct"/>
            <w:vAlign w:val="center"/>
          </w:tcPr>
          <w:p w:rsidR="001118CB" w:rsidRPr="006A1B3E" w:rsidRDefault="001118CB" w:rsidP="0014581C">
            <w:pPr>
              <w:autoSpaceDE w:val="0"/>
              <w:autoSpaceDN w:val="0"/>
              <w:adjustRightInd w:val="0"/>
              <w:spacing w:line="360" w:lineRule="auto"/>
              <w:contextualSpacing/>
              <w:jc w:val="center"/>
              <w:rPr>
                <w:rFonts w:ascii="宋体" w:hAnsi="宋体" w:hint="eastAsia"/>
                <w:sz w:val="24"/>
              </w:rPr>
            </w:pPr>
            <w:r w:rsidRPr="006A1B3E">
              <w:rPr>
                <w:rFonts w:ascii="宋体" w:hAnsi="宋体" w:hint="eastAsia"/>
                <w:color w:val="000000"/>
                <w:sz w:val="24"/>
              </w:rPr>
              <w:t>襄阳</w:t>
            </w:r>
          </w:p>
        </w:tc>
      </w:tr>
    </w:tbl>
    <w:p w:rsidR="001118CB" w:rsidRDefault="001118CB" w:rsidP="001118CB">
      <w:pPr>
        <w:pStyle w:val="2"/>
        <w:numPr>
          <w:ilvl w:val="0"/>
          <w:numId w:val="1"/>
        </w:numPr>
        <w:spacing w:before="100" w:after="100" w:line="240" w:lineRule="auto"/>
        <w:jc w:val="left"/>
        <w:rPr>
          <w:rFonts w:ascii="宋体" w:eastAsia="宋体" w:hAnsi="宋体" w:cs="仿宋_GB2312"/>
          <w:bCs/>
          <w:sz w:val="24"/>
        </w:rPr>
      </w:pPr>
      <w:r>
        <w:rPr>
          <w:rFonts w:ascii="宋体" w:eastAsia="宋体" w:hAnsi="宋体" w:cs="仿宋_GB2312" w:hint="eastAsia"/>
          <w:bCs/>
          <w:sz w:val="24"/>
        </w:rPr>
        <w:t>服务期限：</w:t>
      </w:r>
    </w:p>
    <w:p w:rsidR="001118CB" w:rsidRPr="00425460" w:rsidRDefault="001118CB" w:rsidP="001118CB">
      <w:pPr>
        <w:spacing w:line="360" w:lineRule="auto"/>
        <w:ind w:firstLineChars="200" w:firstLine="440"/>
        <w:rPr>
          <w:rFonts w:ascii="宋体" w:hAnsi="宋体" w:cs="仿宋_GB2312" w:hint="eastAsia"/>
          <w:sz w:val="22"/>
          <w:szCs w:val="22"/>
        </w:rPr>
      </w:pPr>
      <w:r w:rsidRPr="00425460">
        <w:rPr>
          <w:rFonts w:ascii="宋体" w:hAnsi="宋体" w:cs="仿宋_GB2312" w:hint="eastAsia"/>
          <w:sz w:val="22"/>
          <w:szCs w:val="22"/>
        </w:rPr>
        <w:t>2025年10月9日-2026年10月8日</w:t>
      </w:r>
    </w:p>
    <w:p w:rsidR="001118CB" w:rsidRPr="000B103E" w:rsidRDefault="001118CB" w:rsidP="001118CB">
      <w:pPr>
        <w:pStyle w:val="2"/>
        <w:numPr>
          <w:ilvl w:val="0"/>
          <w:numId w:val="1"/>
        </w:numPr>
        <w:spacing w:before="100" w:after="100" w:line="240" w:lineRule="auto"/>
        <w:jc w:val="left"/>
        <w:rPr>
          <w:rFonts w:ascii="宋体" w:eastAsia="宋体" w:hAnsi="宋体" w:cs="仿宋_GB2312" w:hint="eastAsia"/>
          <w:bCs/>
          <w:sz w:val="24"/>
        </w:rPr>
      </w:pPr>
      <w:r>
        <w:rPr>
          <w:rFonts w:ascii="宋体" w:eastAsia="宋体" w:hAnsi="宋体" w:cs="仿宋_GB2312" w:hint="eastAsia"/>
          <w:bCs/>
          <w:sz w:val="24"/>
        </w:rPr>
        <w:t>付款方式：</w:t>
      </w:r>
    </w:p>
    <w:p w:rsidR="001118CB" w:rsidRPr="00213BEE" w:rsidRDefault="001118CB" w:rsidP="001118CB">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1.</w:t>
      </w:r>
      <w:r w:rsidRPr="00213BEE">
        <w:rPr>
          <w:rFonts w:ascii="宋体" w:hAnsi="宋体" w:cs="仿宋_GB2312" w:hint="eastAsia"/>
          <w:sz w:val="22"/>
          <w:szCs w:val="22"/>
        </w:rPr>
        <w:t>合同签订生效后</w:t>
      </w:r>
      <w:bookmarkStart w:id="1" w:name="_Hlk206594589"/>
      <w:r w:rsidRPr="00213BEE">
        <w:rPr>
          <w:rFonts w:ascii="宋体" w:hAnsi="宋体" w:cs="仿宋_GB2312" w:hint="eastAsia"/>
          <w:sz w:val="22"/>
          <w:szCs w:val="22"/>
        </w:rPr>
        <w:t>30个工作日内，甲方向乙方预付合同金额的</w:t>
      </w:r>
      <w:r>
        <w:rPr>
          <w:rFonts w:ascii="宋体" w:hAnsi="宋体" w:cs="仿宋_GB2312" w:hint="eastAsia"/>
          <w:sz w:val="22"/>
          <w:szCs w:val="22"/>
        </w:rPr>
        <w:t>25</w:t>
      </w:r>
      <w:r w:rsidRPr="00213BEE">
        <w:rPr>
          <w:rFonts w:ascii="宋体" w:hAnsi="宋体" w:cs="仿宋_GB2312" w:hint="eastAsia"/>
          <w:sz w:val="22"/>
          <w:szCs w:val="22"/>
        </w:rPr>
        <w:t>%</w:t>
      </w:r>
      <w:bookmarkEnd w:id="1"/>
      <w:r>
        <w:rPr>
          <w:rFonts w:ascii="宋体" w:hAnsi="宋体" w:cs="仿宋_GB2312" w:hint="eastAsia"/>
          <w:sz w:val="22"/>
          <w:szCs w:val="22"/>
        </w:rPr>
        <w:t>，</w:t>
      </w:r>
      <w:bookmarkStart w:id="2" w:name="_Hlk206594565"/>
      <w:r>
        <w:rPr>
          <w:rFonts w:ascii="宋体" w:hAnsi="宋体" w:cs="仿宋_GB2312" w:hint="eastAsia"/>
          <w:sz w:val="22"/>
          <w:szCs w:val="22"/>
        </w:rPr>
        <w:t>服务</w:t>
      </w:r>
      <w:r w:rsidRPr="00213BEE">
        <w:rPr>
          <w:rFonts w:ascii="宋体" w:hAnsi="宋体" w:cs="仿宋_GB2312" w:hint="eastAsia"/>
          <w:sz w:val="22"/>
          <w:szCs w:val="22"/>
        </w:rPr>
        <w:t>满6个月后</w:t>
      </w:r>
      <w:bookmarkEnd w:id="2"/>
      <w:r w:rsidRPr="00213BEE">
        <w:rPr>
          <w:rFonts w:ascii="宋体" w:hAnsi="宋体" w:cs="仿宋_GB2312" w:hint="eastAsia"/>
          <w:sz w:val="22"/>
          <w:szCs w:val="22"/>
        </w:rPr>
        <w:t>，</w:t>
      </w:r>
      <w:r w:rsidRPr="00032260">
        <w:rPr>
          <w:rFonts w:ascii="宋体" w:hAnsi="宋体" w:cs="仿宋_GB2312" w:hint="eastAsia"/>
          <w:sz w:val="22"/>
          <w:szCs w:val="22"/>
        </w:rPr>
        <w:t>甲方开展验收工作后，并经甲乙双方验收合格后，甲方应在收到乙方的如下资料并确认无误后30个工作日内支付合同全款的</w:t>
      </w:r>
      <w:r>
        <w:rPr>
          <w:rFonts w:ascii="宋体" w:hAnsi="宋体" w:cs="仿宋_GB2312" w:hint="eastAsia"/>
          <w:sz w:val="22"/>
          <w:szCs w:val="22"/>
        </w:rPr>
        <w:t>25</w:t>
      </w:r>
      <w:r w:rsidRPr="00032260">
        <w:rPr>
          <w:rFonts w:ascii="宋体" w:hAnsi="宋体" w:cs="仿宋_GB2312" w:hint="eastAsia"/>
          <w:sz w:val="22"/>
          <w:szCs w:val="22"/>
        </w:rPr>
        <w:t>%</w:t>
      </w:r>
      <w:r w:rsidRPr="00213BEE">
        <w:rPr>
          <w:rFonts w:ascii="宋体" w:hAnsi="宋体" w:cs="仿宋_GB2312" w:hint="eastAsia"/>
          <w:sz w:val="22"/>
          <w:szCs w:val="22"/>
        </w:rPr>
        <w:t>。</w:t>
      </w:r>
    </w:p>
    <w:p w:rsidR="001118CB" w:rsidRPr="00213BEE" w:rsidRDefault="001118CB" w:rsidP="001118CB">
      <w:pPr>
        <w:spacing w:line="360" w:lineRule="auto"/>
        <w:ind w:firstLineChars="200" w:firstLine="440"/>
        <w:rPr>
          <w:rFonts w:ascii="宋体" w:hAnsi="宋体" w:cs="仿宋_GB2312" w:hint="eastAsia"/>
          <w:sz w:val="22"/>
          <w:szCs w:val="22"/>
        </w:rPr>
      </w:pPr>
      <w:bookmarkStart w:id="3" w:name="_Hlk206594710"/>
      <w:r w:rsidRPr="00213BEE">
        <w:rPr>
          <w:rFonts w:ascii="宋体" w:hAnsi="宋体" w:cs="仿宋_GB2312" w:hint="eastAsia"/>
          <w:sz w:val="22"/>
          <w:szCs w:val="22"/>
        </w:rPr>
        <w:t>（1）合同总额50%增值税专用发票原件一份。</w:t>
      </w:r>
    </w:p>
    <w:p w:rsidR="001118CB" w:rsidRPr="00213BEE" w:rsidRDefault="001118CB" w:rsidP="001118CB">
      <w:pPr>
        <w:spacing w:line="360" w:lineRule="auto"/>
        <w:ind w:firstLineChars="200" w:firstLine="440"/>
        <w:rPr>
          <w:rFonts w:ascii="宋体" w:hAnsi="宋体" w:cs="仿宋_GB2312" w:hint="eastAsia"/>
          <w:sz w:val="22"/>
          <w:szCs w:val="22"/>
        </w:rPr>
      </w:pPr>
      <w:r w:rsidRPr="00213BEE">
        <w:rPr>
          <w:rFonts w:ascii="宋体" w:hAnsi="宋体" w:cs="仿宋_GB2312" w:hint="eastAsia"/>
          <w:sz w:val="22"/>
          <w:szCs w:val="22"/>
        </w:rPr>
        <w:t>（2）</w:t>
      </w:r>
      <w:bookmarkStart w:id="4" w:name="_Hlk206594242"/>
      <w:r w:rsidRPr="00213BEE">
        <w:rPr>
          <w:rFonts w:ascii="宋体" w:hAnsi="宋体" w:cs="仿宋_GB2312" w:hint="eastAsia"/>
          <w:sz w:val="22"/>
          <w:szCs w:val="22"/>
        </w:rPr>
        <w:t>服务评审报告</w:t>
      </w:r>
      <w:bookmarkEnd w:id="4"/>
      <w:r w:rsidRPr="00213BEE">
        <w:rPr>
          <w:rFonts w:ascii="宋体" w:hAnsi="宋体" w:cs="仿宋_GB2312" w:hint="eastAsia"/>
          <w:sz w:val="22"/>
          <w:szCs w:val="22"/>
        </w:rPr>
        <w:t>（甲、乙双方签字确认）。</w:t>
      </w:r>
    </w:p>
    <w:p w:rsidR="001118CB" w:rsidRPr="00213BEE" w:rsidRDefault="001118CB" w:rsidP="001118CB">
      <w:pPr>
        <w:spacing w:line="360" w:lineRule="auto"/>
        <w:ind w:firstLineChars="200" w:firstLine="440"/>
        <w:rPr>
          <w:rFonts w:ascii="宋体" w:hAnsi="宋体" w:cs="仿宋_GB2312" w:hint="eastAsia"/>
          <w:sz w:val="22"/>
          <w:szCs w:val="22"/>
        </w:rPr>
      </w:pPr>
      <w:r w:rsidRPr="00213BEE">
        <w:rPr>
          <w:rFonts w:ascii="宋体" w:hAnsi="宋体" w:cs="仿宋_GB2312" w:hint="eastAsia"/>
          <w:sz w:val="22"/>
          <w:szCs w:val="22"/>
        </w:rPr>
        <w:t>（3）阶段性</w:t>
      </w:r>
      <w:r>
        <w:rPr>
          <w:rFonts w:ascii="宋体" w:hAnsi="宋体" w:cs="仿宋_GB2312" w:hint="eastAsia"/>
          <w:sz w:val="22"/>
          <w:szCs w:val="22"/>
        </w:rPr>
        <w:t>运维服务报告</w:t>
      </w:r>
      <w:r w:rsidRPr="00213BEE">
        <w:rPr>
          <w:rFonts w:ascii="宋体" w:hAnsi="宋体" w:cs="仿宋_GB2312" w:hint="eastAsia"/>
          <w:sz w:val="22"/>
          <w:szCs w:val="22"/>
        </w:rPr>
        <w:t>（甲、乙双方签字确认）。</w:t>
      </w:r>
    </w:p>
    <w:bookmarkEnd w:id="3"/>
    <w:p w:rsidR="001118CB" w:rsidRDefault="001118CB" w:rsidP="001118CB">
      <w:pPr>
        <w:spacing w:line="360" w:lineRule="auto"/>
        <w:ind w:firstLineChars="200" w:firstLine="440"/>
        <w:rPr>
          <w:rFonts w:ascii="宋体" w:hAnsi="宋体" w:cs="仿宋_GB2312"/>
          <w:sz w:val="22"/>
          <w:szCs w:val="22"/>
        </w:rPr>
      </w:pPr>
      <w:r>
        <w:rPr>
          <w:rFonts w:ascii="宋体" w:hAnsi="宋体" w:cs="仿宋_GB2312" w:hint="eastAsia"/>
          <w:sz w:val="22"/>
          <w:szCs w:val="22"/>
        </w:rPr>
        <w:t>2.</w:t>
      </w:r>
      <w:r w:rsidRPr="004C5D7A">
        <w:rPr>
          <w:rFonts w:ascii="宋体" w:hAnsi="宋体" w:cs="仿宋_GB2312" w:hint="eastAsia"/>
          <w:sz w:val="22"/>
          <w:szCs w:val="22"/>
        </w:rPr>
        <w:t>服务满6个月后30个工作日内，甲方向乙方预付合同金额的25%</w:t>
      </w:r>
      <w:r>
        <w:rPr>
          <w:rFonts w:ascii="宋体" w:hAnsi="宋体" w:cs="仿宋_GB2312" w:hint="eastAsia"/>
          <w:sz w:val="22"/>
          <w:szCs w:val="22"/>
        </w:rPr>
        <w:t>，</w:t>
      </w:r>
      <w:r w:rsidRPr="00213BEE">
        <w:rPr>
          <w:rFonts w:ascii="宋体" w:hAnsi="宋体" w:cs="仿宋_GB2312" w:hint="eastAsia"/>
          <w:sz w:val="22"/>
          <w:szCs w:val="22"/>
        </w:rPr>
        <w:t>服务期届满，且未出现本合同第五章规定的违约情形的，</w:t>
      </w:r>
      <w:r w:rsidRPr="004C5D7A">
        <w:rPr>
          <w:rFonts w:ascii="宋体" w:hAnsi="宋体" w:cs="仿宋_GB2312" w:hint="eastAsia"/>
          <w:sz w:val="22"/>
          <w:szCs w:val="22"/>
        </w:rPr>
        <w:t>甲方开展验收工作后，并经甲乙双方验收合格后，甲方应在收到乙方的如下资料并确认无误后30个工作日内支付合同全款的25%。</w:t>
      </w:r>
    </w:p>
    <w:p w:rsidR="001118CB" w:rsidRPr="004C5D7A" w:rsidRDefault="001118CB" w:rsidP="001118CB">
      <w:pPr>
        <w:spacing w:line="360" w:lineRule="auto"/>
        <w:ind w:firstLineChars="200" w:firstLine="440"/>
        <w:rPr>
          <w:rFonts w:ascii="宋体" w:hAnsi="宋体" w:cs="仿宋_GB2312" w:hint="eastAsia"/>
          <w:sz w:val="22"/>
          <w:szCs w:val="22"/>
        </w:rPr>
      </w:pPr>
      <w:r w:rsidRPr="004C5D7A">
        <w:rPr>
          <w:rFonts w:ascii="宋体" w:hAnsi="宋体" w:cs="仿宋_GB2312" w:hint="eastAsia"/>
          <w:sz w:val="22"/>
          <w:szCs w:val="22"/>
        </w:rPr>
        <w:t>（1）合同总额50%增值税专用发票原件一份。</w:t>
      </w:r>
    </w:p>
    <w:p w:rsidR="001118CB" w:rsidRPr="004C5D7A" w:rsidRDefault="001118CB" w:rsidP="001118CB">
      <w:pPr>
        <w:spacing w:line="360" w:lineRule="auto"/>
        <w:ind w:firstLineChars="200" w:firstLine="440"/>
        <w:rPr>
          <w:rFonts w:ascii="宋体" w:hAnsi="宋体" w:cs="仿宋_GB2312" w:hint="eastAsia"/>
          <w:sz w:val="22"/>
          <w:szCs w:val="22"/>
        </w:rPr>
      </w:pPr>
      <w:r w:rsidRPr="004C5D7A">
        <w:rPr>
          <w:rFonts w:ascii="宋体" w:hAnsi="宋体" w:cs="仿宋_GB2312" w:hint="eastAsia"/>
          <w:sz w:val="22"/>
          <w:szCs w:val="22"/>
        </w:rPr>
        <w:t>（2）服务评审报告（甲、乙双方签字确认）。</w:t>
      </w:r>
    </w:p>
    <w:p w:rsidR="001118CB" w:rsidRPr="00116B30" w:rsidRDefault="001118CB" w:rsidP="001118CB">
      <w:pPr>
        <w:spacing w:line="360" w:lineRule="auto"/>
        <w:ind w:firstLineChars="200" w:firstLine="440"/>
        <w:rPr>
          <w:rFonts w:ascii="宋体" w:hAnsi="宋体" w:cs="仿宋_GB2312" w:hint="eastAsia"/>
          <w:sz w:val="22"/>
          <w:szCs w:val="22"/>
        </w:rPr>
      </w:pPr>
      <w:r w:rsidRPr="004C5D7A">
        <w:rPr>
          <w:rFonts w:ascii="宋体" w:hAnsi="宋体" w:cs="仿宋_GB2312" w:hint="eastAsia"/>
          <w:sz w:val="22"/>
          <w:szCs w:val="22"/>
        </w:rPr>
        <w:t>（3）阶段性运维服务报告（甲、乙双方签字确认）</w:t>
      </w:r>
      <w:r w:rsidRPr="00F03B4D">
        <w:rPr>
          <w:rFonts w:ascii="宋体" w:hAnsi="宋体" w:cs="仿宋_GB2312" w:hint="eastAsia"/>
          <w:sz w:val="22"/>
          <w:szCs w:val="22"/>
        </w:rPr>
        <w:t>。</w:t>
      </w:r>
    </w:p>
    <w:p w:rsidR="001118CB" w:rsidRPr="00F03B4D" w:rsidRDefault="001118CB" w:rsidP="001118CB">
      <w:pPr>
        <w:pStyle w:val="2"/>
        <w:numPr>
          <w:ilvl w:val="0"/>
          <w:numId w:val="1"/>
        </w:numPr>
        <w:spacing w:before="100" w:after="100" w:line="240" w:lineRule="auto"/>
        <w:jc w:val="left"/>
        <w:rPr>
          <w:rFonts w:ascii="宋体" w:eastAsia="宋体" w:hAnsi="宋体" w:cs="仿宋_GB2312"/>
          <w:bCs/>
          <w:sz w:val="24"/>
        </w:rPr>
      </w:pPr>
      <w:r>
        <w:rPr>
          <w:rFonts w:ascii="宋体" w:eastAsia="宋体" w:hAnsi="宋体" w:cs="仿宋_GB2312" w:hint="eastAsia"/>
          <w:bCs/>
          <w:sz w:val="24"/>
        </w:rPr>
        <w:t>服务内容及</w:t>
      </w:r>
      <w:r w:rsidRPr="00F03B4D">
        <w:rPr>
          <w:rFonts w:ascii="宋体" w:eastAsia="宋体" w:hAnsi="宋体" w:cs="仿宋_GB2312" w:hint="eastAsia"/>
          <w:bCs/>
          <w:sz w:val="24"/>
        </w:rPr>
        <w:t>要求</w:t>
      </w:r>
      <w:r>
        <w:rPr>
          <w:rFonts w:ascii="宋体" w:eastAsia="宋体" w:hAnsi="宋体" w:cs="仿宋_GB2312" w:hint="eastAsia"/>
          <w:bCs/>
          <w:sz w:val="24"/>
        </w:rPr>
        <w:t>：</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（一）</w:t>
      </w:r>
      <w:r w:rsidRPr="00B27CAA">
        <w:rPr>
          <w:rFonts w:ascii="宋体" w:hAnsi="宋体" w:cs="仿宋_GB2312" w:hint="eastAsia"/>
          <w:sz w:val="22"/>
          <w:szCs w:val="22"/>
        </w:rPr>
        <w:tab/>
        <w:t>终端运维服务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lastRenderedPageBreak/>
        <w:t>（1）服务内容</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1、提供5*8小时信息化运维服务。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2、硬件故障处理：对用户指定办公场所PC电脑、移动终端、打印机、笔记本电脑等终端设备进行日常维护、安装调试、故障处理、设备维修等。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应用软件服务：对用户指定办公场所办公电脑、移动终端操作系统、应用软件的安装、故障处理、补丁升级、操作指导等服务；协助用户做好业务应用软件：电子政务、采购管理、一体化平台等相关业务系统日常操作指导、故障跟踪协调处理、用户需求收集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4、协助用户做好内网终端网络安全日常管理及机房日常运行维护。</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5、协助用户做好视频会议保障服务，与上级单位的会前联调、正式会议现场保障，确保视频会议正常进行。</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6、协助做好机房基础设施、设备巡检服务工作并做好巡检记录。</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7、巡检服务：应按</w:t>
      </w:r>
      <w:r>
        <w:rPr>
          <w:rFonts w:ascii="宋体" w:hAnsi="宋体" w:cs="仿宋_GB2312" w:hint="eastAsia"/>
          <w:sz w:val="22"/>
          <w:szCs w:val="22"/>
        </w:rPr>
        <w:t>采购</w:t>
      </w:r>
      <w:r w:rsidRPr="00B27CAA">
        <w:rPr>
          <w:rFonts w:ascii="宋体" w:hAnsi="宋体" w:cs="仿宋_GB2312" w:hint="eastAsia"/>
          <w:sz w:val="22"/>
          <w:szCs w:val="22"/>
        </w:rPr>
        <w:t>人要求对所属服务地点的终端设备资产进行一次全面运行状况的巡检维护，并提供巡检服务报告包括相关建议。</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8、协助</w:t>
      </w:r>
      <w:r>
        <w:rPr>
          <w:rFonts w:ascii="宋体" w:hAnsi="宋体" w:cs="仿宋_GB2312" w:hint="eastAsia"/>
          <w:sz w:val="22"/>
          <w:szCs w:val="22"/>
        </w:rPr>
        <w:t>采购</w:t>
      </w:r>
      <w:r w:rsidRPr="00B27CAA">
        <w:rPr>
          <w:rFonts w:ascii="宋体" w:hAnsi="宋体" w:cs="仿宋_GB2312" w:hint="eastAsia"/>
          <w:sz w:val="22"/>
          <w:szCs w:val="22"/>
        </w:rPr>
        <w:t>方做好特殊情况或国家重大活动期间提供巡检或值守服务。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9、配合</w:t>
      </w:r>
      <w:r>
        <w:rPr>
          <w:rFonts w:ascii="宋体" w:hAnsi="宋体" w:cs="仿宋_GB2312" w:hint="eastAsia"/>
          <w:sz w:val="22"/>
          <w:szCs w:val="22"/>
        </w:rPr>
        <w:t>采购</w:t>
      </w:r>
      <w:r w:rsidRPr="00B27CAA">
        <w:rPr>
          <w:rFonts w:ascii="宋体" w:hAnsi="宋体" w:cs="仿宋_GB2312" w:hint="eastAsia"/>
          <w:sz w:val="22"/>
          <w:szCs w:val="22"/>
        </w:rPr>
        <w:t>人完成其它临时性服务工作。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（2）服务要求</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1、服务人员应有3年</w:t>
      </w:r>
      <w:proofErr w:type="gramStart"/>
      <w:r w:rsidRPr="00B27CAA">
        <w:rPr>
          <w:rFonts w:ascii="宋体" w:hAnsi="宋体" w:cs="仿宋_GB2312" w:hint="eastAsia"/>
          <w:sz w:val="22"/>
          <w:szCs w:val="22"/>
        </w:rPr>
        <w:t>以上运</w:t>
      </w:r>
      <w:proofErr w:type="gramEnd"/>
      <w:r w:rsidRPr="00B27CAA">
        <w:rPr>
          <w:rFonts w:ascii="宋体" w:hAnsi="宋体" w:cs="仿宋_GB2312" w:hint="eastAsia"/>
          <w:sz w:val="22"/>
          <w:szCs w:val="22"/>
        </w:rPr>
        <w:t>维服务工作经验，大专及以上学历。熟悉机房/办公室各类型设备终端，有相关专业证书，服从</w:t>
      </w:r>
      <w:r>
        <w:rPr>
          <w:rFonts w:ascii="宋体" w:hAnsi="宋体" w:cs="仿宋_GB2312" w:hint="eastAsia"/>
          <w:sz w:val="22"/>
          <w:szCs w:val="22"/>
        </w:rPr>
        <w:t>采购</w:t>
      </w:r>
      <w:r w:rsidRPr="00B27CAA">
        <w:rPr>
          <w:rFonts w:ascii="宋体" w:hAnsi="宋体" w:cs="仿宋_GB2312" w:hint="eastAsia"/>
          <w:sz w:val="22"/>
          <w:szCs w:val="22"/>
        </w:rPr>
        <w:t>人的工作安排及配合完成其它临时性工作。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2、安全及保密要求：严格遵守</w:t>
      </w:r>
      <w:r>
        <w:rPr>
          <w:rFonts w:ascii="宋体" w:hAnsi="宋体" w:cs="仿宋_GB2312" w:hint="eastAsia"/>
          <w:sz w:val="22"/>
          <w:szCs w:val="22"/>
        </w:rPr>
        <w:t>采购</w:t>
      </w:r>
      <w:r w:rsidRPr="00B27CAA">
        <w:rPr>
          <w:rFonts w:ascii="宋体" w:hAnsi="宋体" w:cs="仿宋_GB2312" w:hint="eastAsia"/>
          <w:sz w:val="22"/>
          <w:szCs w:val="22"/>
        </w:rPr>
        <w:t>人安全及保密管理规定，对工作中接触到的数据、文档资料、影像资料、图片、密码等承担保密义务，未经许可不得擅自提供给第三方人员，离岗前需销毁所接触的各类文档及电子资料。同时需加强个人及工作场所的安全管理。应与</w:t>
      </w:r>
      <w:r>
        <w:rPr>
          <w:rFonts w:ascii="宋体" w:hAnsi="宋体" w:cs="仿宋_GB2312" w:hint="eastAsia"/>
          <w:sz w:val="22"/>
          <w:szCs w:val="22"/>
        </w:rPr>
        <w:t>采购</w:t>
      </w:r>
      <w:r w:rsidRPr="00B27CAA">
        <w:rPr>
          <w:rFonts w:ascii="宋体" w:hAnsi="宋体" w:cs="仿宋_GB2312" w:hint="eastAsia"/>
          <w:sz w:val="22"/>
          <w:szCs w:val="22"/>
        </w:rPr>
        <w:t>方签订安全及保密责任状。</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3、服务的长期保障，确保日常、</w:t>
      </w:r>
      <w:proofErr w:type="gramStart"/>
      <w:r w:rsidRPr="00B27CAA">
        <w:rPr>
          <w:rFonts w:ascii="宋体" w:hAnsi="宋体" w:cs="仿宋_GB2312" w:hint="eastAsia"/>
          <w:sz w:val="22"/>
          <w:szCs w:val="22"/>
        </w:rPr>
        <w:t>重保及</w:t>
      </w:r>
      <w:proofErr w:type="gramEnd"/>
      <w:r w:rsidRPr="00B27CAA">
        <w:rPr>
          <w:rFonts w:ascii="宋体" w:hAnsi="宋体" w:cs="仿宋_GB2312" w:hint="eastAsia"/>
          <w:sz w:val="22"/>
          <w:szCs w:val="22"/>
        </w:rPr>
        <w:t>关键业务应用高峰期，应有充足的专人在现场进行保障，具有畅通的服务保障渠道和良好的服务支持团队。</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4、严格遵守</w:t>
      </w:r>
      <w:r>
        <w:rPr>
          <w:rFonts w:ascii="宋体" w:hAnsi="宋体" w:cs="仿宋_GB2312" w:hint="eastAsia"/>
          <w:sz w:val="22"/>
          <w:szCs w:val="22"/>
        </w:rPr>
        <w:t>采购</w:t>
      </w:r>
      <w:r w:rsidRPr="00B27CAA">
        <w:rPr>
          <w:rFonts w:ascii="宋体" w:hAnsi="宋体" w:cs="仿宋_GB2312" w:hint="eastAsia"/>
          <w:sz w:val="22"/>
          <w:szCs w:val="22"/>
        </w:rPr>
        <w:t>人各项规章制度，包括安全管理、考勤管理、风险管理、形为规范、绩效管理、现场服务管理等。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（3）服务工作量</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工作量≥32小时*240天，≥7680小时/年。</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（二）开发运维服务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lastRenderedPageBreak/>
        <w:t>（1）服务内容</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1、提供5*8小时信息化运维服务。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2、硬件故障处理：对用户指定办公场所PC电脑、移动终端、打印机、笔记本电脑等终端设备进行日常维护、安装调试、故障处理、设备维修等。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应用软件服务：对用户指定办公场所办公电脑、移动终端操作系统、应用软件的安装、故障处理、补丁升级、操作指导等服务；协助用户做好业务应用软件：电子政务、采购管理、一体化平台等相关业务系统日常操作指导、故障跟踪协调处理、用户需求收集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4、协助用户做好内网终端网络安全日常管理及机房日常运行维护。</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5、协助用户做好视频会议保障服务，与上级单位的会前联调、正式会议现场保障，确保视频会议正常进行。</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6、能独立完成行业</w:t>
      </w:r>
      <w:proofErr w:type="gramStart"/>
      <w:r w:rsidRPr="00B27CAA">
        <w:rPr>
          <w:rFonts w:ascii="宋体" w:hAnsi="宋体" w:cs="仿宋_GB2312" w:hint="eastAsia"/>
          <w:sz w:val="22"/>
          <w:szCs w:val="22"/>
        </w:rPr>
        <w:t>内轻流低</w:t>
      </w:r>
      <w:proofErr w:type="gramEnd"/>
      <w:r w:rsidRPr="00B27CAA">
        <w:rPr>
          <w:rFonts w:ascii="宋体" w:hAnsi="宋体" w:cs="仿宋_GB2312" w:hint="eastAsia"/>
          <w:sz w:val="22"/>
          <w:szCs w:val="22"/>
        </w:rPr>
        <w:t>代码平台应用开发服务。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7、根据需求完成</w:t>
      </w:r>
      <w:r>
        <w:rPr>
          <w:rFonts w:ascii="宋体" w:hAnsi="宋体" w:cs="仿宋_GB2312" w:hint="eastAsia"/>
          <w:sz w:val="22"/>
          <w:szCs w:val="22"/>
        </w:rPr>
        <w:t>采购</w:t>
      </w:r>
      <w:r w:rsidRPr="00B27CAA">
        <w:rPr>
          <w:rFonts w:ascii="宋体" w:hAnsi="宋体" w:cs="仿宋_GB2312" w:hint="eastAsia"/>
          <w:sz w:val="22"/>
          <w:szCs w:val="22"/>
        </w:rPr>
        <w:t>人指定项目的建设，提供需求设计服务，制定需求分析文档与开发方案，完成项目的开发与实施工作。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8、协助做好机房基础设施、设备巡检服务工作并做好巡检记录。</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9、巡检服务：应按</w:t>
      </w:r>
      <w:r>
        <w:rPr>
          <w:rFonts w:ascii="宋体" w:hAnsi="宋体" w:cs="仿宋_GB2312" w:hint="eastAsia"/>
          <w:sz w:val="22"/>
          <w:szCs w:val="22"/>
        </w:rPr>
        <w:t>采购</w:t>
      </w:r>
      <w:r w:rsidRPr="00B27CAA">
        <w:rPr>
          <w:rFonts w:ascii="宋体" w:hAnsi="宋体" w:cs="仿宋_GB2312" w:hint="eastAsia"/>
          <w:sz w:val="22"/>
          <w:szCs w:val="22"/>
        </w:rPr>
        <w:t>人要求对所属服务地点的终端设备资产进行一次全面运行状况的巡检维护，并提供巡检服务报告包括相关建议。</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10、协助</w:t>
      </w:r>
      <w:r>
        <w:rPr>
          <w:rFonts w:ascii="宋体" w:hAnsi="宋体" w:cs="仿宋_GB2312" w:hint="eastAsia"/>
          <w:sz w:val="22"/>
          <w:szCs w:val="22"/>
        </w:rPr>
        <w:t>采购</w:t>
      </w:r>
      <w:r w:rsidRPr="00B27CAA">
        <w:rPr>
          <w:rFonts w:ascii="宋体" w:hAnsi="宋体" w:cs="仿宋_GB2312" w:hint="eastAsia"/>
          <w:sz w:val="22"/>
          <w:szCs w:val="22"/>
        </w:rPr>
        <w:t>方做好特殊情况或国家重大活动期间提供巡检或值守服务。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11、配合</w:t>
      </w:r>
      <w:r>
        <w:rPr>
          <w:rFonts w:ascii="宋体" w:hAnsi="宋体" w:cs="仿宋_GB2312" w:hint="eastAsia"/>
          <w:sz w:val="22"/>
          <w:szCs w:val="22"/>
        </w:rPr>
        <w:t>采购</w:t>
      </w:r>
      <w:r w:rsidRPr="00B27CAA">
        <w:rPr>
          <w:rFonts w:ascii="宋体" w:hAnsi="宋体" w:cs="仿宋_GB2312" w:hint="eastAsia"/>
          <w:sz w:val="22"/>
          <w:szCs w:val="22"/>
        </w:rPr>
        <w:t>人完成其它临时性服务工作。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（2）服务要求</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服务人员应为计算机或相关专业,3年以上从业经验，本科及以上学历。熟悉敏捷开发方式,JAVA基础扎实，熟悉I/O、多线程、集合等基础框架，了解会使用分布式、缓存、消息、搜索等机制.精通Spring，JPA，Hibernate，</w:t>
      </w:r>
      <w:proofErr w:type="spellStart"/>
      <w:r w:rsidRPr="00B27CAA">
        <w:rPr>
          <w:rFonts w:ascii="宋体" w:hAnsi="宋体" w:cs="仿宋_GB2312" w:hint="eastAsia"/>
          <w:sz w:val="22"/>
          <w:szCs w:val="22"/>
        </w:rPr>
        <w:t>Mybatis</w:t>
      </w:r>
      <w:proofErr w:type="spellEnd"/>
      <w:r w:rsidRPr="00B27CAA">
        <w:rPr>
          <w:rFonts w:ascii="宋体" w:hAnsi="宋体" w:cs="仿宋_GB2312" w:hint="eastAsia"/>
          <w:sz w:val="22"/>
          <w:szCs w:val="22"/>
        </w:rPr>
        <w:t>等流行开源框架，熟悉</w:t>
      </w:r>
      <w:proofErr w:type="spellStart"/>
      <w:r w:rsidRPr="00B27CAA">
        <w:rPr>
          <w:rFonts w:ascii="宋体" w:hAnsi="宋体" w:cs="仿宋_GB2312" w:hint="eastAsia"/>
          <w:sz w:val="22"/>
          <w:szCs w:val="22"/>
        </w:rPr>
        <w:t>Mysql</w:t>
      </w:r>
      <w:proofErr w:type="spellEnd"/>
      <w:r w:rsidRPr="00B27CAA">
        <w:rPr>
          <w:rFonts w:ascii="宋体" w:hAnsi="宋体" w:cs="仿宋_GB2312" w:hint="eastAsia"/>
          <w:sz w:val="22"/>
          <w:szCs w:val="22"/>
        </w:rPr>
        <w:t>数据库应用开发，服从</w:t>
      </w:r>
      <w:r>
        <w:rPr>
          <w:rFonts w:ascii="宋体" w:hAnsi="宋体" w:cs="仿宋_GB2312" w:hint="eastAsia"/>
          <w:sz w:val="22"/>
          <w:szCs w:val="22"/>
        </w:rPr>
        <w:t>采购</w:t>
      </w:r>
      <w:r w:rsidRPr="00B27CAA">
        <w:rPr>
          <w:rFonts w:ascii="宋体" w:hAnsi="宋体" w:cs="仿宋_GB2312" w:hint="eastAsia"/>
          <w:sz w:val="22"/>
          <w:szCs w:val="22"/>
        </w:rPr>
        <w:t>人的工作安排及配合完成其它临时性工作。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2、安全及保密要求：严格遵守</w:t>
      </w:r>
      <w:r>
        <w:rPr>
          <w:rFonts w:ascii="宋体" w:hAnsi="宋体" w:cs="仿宋_GB2312" w:hint="eastAsia"/>
          <w:sz w:val="22"/>
          <w:szCs w:val="22"/>
        </w:rPr>
        <w:t>采购</w:t>
      </w:r>
      <w:r w:rsidRPr="00B27CAA">
        <w:rPr>
          <w:rFonts w:ascii="宋体" w:hAnsi="宋体" w:cs="仿宋_GB2312" w:hint="eastAsia"/>
          <w:sz w:val="22"/>
          <w:szCs w:val="22"/>
        </w:rPr>
        <w:t>人安全及保密管理规定，对工作中接触到的数据、文档资料、影像资料、图片、密码等承担保密义务，未经许可不得擅自提供给第三方人员，离岗前需销毁所接触的各类文档及电子资料。同时需加强个人及</w:t>
      </w:r>
      <w:proofErr w:type="gramStart"/>
      <w:r w:rsidRPr="00B27CAA">
        <w:rPr>
          <w:rFonts w:ascii="宋体" w:hAnsi="宋体" w:cs="仿宋_GB2312" w:hint="eastAsia"/>
          <w:sz w:val="22"/>
          <w:szCs w:val="22"/>
        </w:rPr>
        <w:t>工作厂</w:t>
      </w:r>
      <w:proofErr w:type="gramEnd"/>
      <w:r w:rsidRPr="00B27CAA">
        <w:rPr>
          <w:rFonts w:ascii="宋体" w:hAnsi="宋体" w:cs="仿宋_GB2312" w:hint="eastAsia"/>
          <w:sz w:val="22"/>
          <w:szCs w:val="22"/>
        </w:rPr>
        <w:t>所的安全管理。应与</w:t>
      </w:r>
      <w:r>
        <w:rPr>
          <w:rFonts w:ascii="宋体" w:hAnsi="宋体" w:cs="仿宋_GB2312" w:hint="eastAsia"/>
          <w:sz w:val="22"/>
          <w:szCs w:val="22"/>
        </w:rPr>
        <w:t>采购</w:t>
      </w:r>
      <w:r w:rsidRPr="00B27CAA">
        <w:rPr>
          <w:rFonts w:ascii="宋体" w:hAnsi="宋体" w:cs="仿宋_GB2312" w:hint="eastAsia"/>
          <w:sz w:val="22"/>
          <w:szCs w:val="22"/>
        </w:rPr>
        <w:t>方</w:t>
      </w:r>
      <w:proofErr w:type="gramStart"/>
      <w:r w:rsidRPr="00B27CAA">
        <w:rPr>
          <w:rFonts w:ascii="宋体" w:hAnsi="宋体" w:cs="仿宋_GB2312" w:hint="eastAsia"/>
          <w:sz w:val="22"/>
          <w:szCs w:val="22"/>
        </w:rPr>
        <w:t>签定</w:t>
      </w:r>
      <w:proofErr w:type="gramEnd"/>
      <w:r w:rsidRPr="00B27CAA">
        <w:rPr>
          <w:rFonts w:ascii="宋体" w:hAnsi="宋体" w:cs="仿宋_GB2312" w:hint="eastAsia"/>
          <w:sz w:val="22"/>
          <w:szCs w:val="22"/>
        </w:rPr>
        <w:t>安全及保密责任状。</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3、服务的长期保障，确保日常、</w:t>
      </w:r>
      <w:proofErr w:type="gramStart"/>
      <w:r w:rsidRPr="00B27CAA">
        <w:rPr>
          <w:rFonts w:ascii="宋体" w:hAnsi="宋体" w:cs="仿宋_GB2312" w:hint="eastAsia"/>
          <w:sz w:val="22"/>
          <w:szCs w:val="22"/>
        </w:rPr>
        <w:t>重保及</w:t>
      </w:r>
      <w:proofErr w:type="gramEnd"/>
      <w:r w:rsidRPr="00B27CAA">
        <w:rPr>
          <w:rFonts w:ascii="宋体" w:hAnsi="宋体" w:cs="仿宋_GB2312" w:hint="eastAsia"/>
          <w:sz w:val="22"/>
          <w:szCs w:val="22"/>
        </w:rPr>
        <w:t>关键业务应用高峰期，应有充足的专人在现场进行保障，具有畅通的服务保障渠道和良好的服务支持团队。</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lastRenderedPageBreak/>
        <w:t>4、严格遵守</w:t>
      </w:r>
      <w:r>
        <w:rPr>
          <w:rFonts w:ascii="宋体" w:hAnsi="宋体" w:cs="仿宋_GB2312" w:hint="eastAsia"/>
          <w:sz w:val="22"/>
          <w:szCs w:val="22"/>
        </w:rPr>
        <w:t>采购</w:t>
      </w:r>
      <w:r w:rsidRPr="00B27CAA">
        <w:rPr>
          <w:rFonts w:ascii="宋体" w:hAnsi="宋体" w:cs="仿宋_GB2312" w:hint="eastAsia"/>
          <w:sz w:val="22"/>
          <w:szCs w:val="22"/>
        </w:rPr>
        <w:t>人各项规章制度，包括安全管理、考勤管理、风险管理、形为规范、绩效管理、现场服务管理等。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（3）服务工作量</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工作量≥8小时*240天，≥1920小时/年。</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（三）网络</w:t>
      </w:r>
      <w:proofErr w:type="gramStart"/>
      <w:r w:rsidRPr="00B27CAA">
        <w:rPr>
          <w:rFonts w:ascii="宋体" w:hAnsi="宋体" w:cs="仿宋_GB2312" w:hint="eastAsia"/>
          <w:sz w:val="22"/>
          <w:szCs w:val="22"/>
        </w:rPr>
        <w:t>安全运</w:t>
      </w:r>
      <w:proofErr w:type="gramEnd"/>
      <w:r w:rsidRPr="00B27CAA">
        <w:rPr>
          <w:rFonts w:ascii="宋体" w:hAnsi="宋体" w:cs="仿宋_GB2312" w:hint="eastAsia"/>
          <w:sz w:val="22"/>
          <w:szCs w:val="22"/>
        </w:rPr>
        <w:t>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（1）服务内容</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1、提供5*8小时信息化运维服务。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2、对所有在用安全系统及设备进行巡检，对设备的物理运行情况、清洁情况、系统运行情况、系统资源利用情况、系统运行日志、相应功能是否正常运行等进行检查并记录，排除可能存在的安全问题和隐患。</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3、持续关注客户网络、系统运行情况，一旦发生安全事件后，及时分析安全系统及设备的事件日志，配合甲方进行事件的追踪定位。</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4、定期通过对范围内所有安全系统及设备的报警日志进行分析，梳理客户近一月的信息安全情势、安全状况，提出改进建议。</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5、根据</w:t>
      </w:r>
      <w:proofErr w:type="gramStart"/>
      <w:r w:rsidRPr="00B27CAA">
        <w:rPr>
          <w:rFonts w:ascii="宋体" w:hAnsi="宋体" w:cs="仿宋_GB2312" w:hint="eastAsia"/>
          <w:sz w:val="22"/>
          <w:szCs w:val="22"/>
        </w:rPr>
        <w:t>安全运维工作</w:t>
      </w:r>
      <w:proofErr w:type="gramEnd"/>
      <w:r w:rsidRPr="00B27CAA">
        <w:rPr>
          <w:rFonts w:ascii="宋体" w:hAnsi="宋体" w:cs="仿宋_GB2312" w:hint="eastAsia"/>
          <w:sz w:val="22"/>
          <w:szCs w:val="22"/>
        </w:rPr>
        <w:t>需要，对安全设备自身的配置进行变更调整，如登录口令、登录方式、密码复杂度等设备运维策略。</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6、定期对安全设备业务访问策略进行梳理分析，发现过期、冗余、无效、不明确用途等策略，根据分析结果提供优化调整建议。</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7、配合客户业务系统部署与调整，从安全角度给出部署建议，制定和更新安全设备的防护、检测策略。</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8、在维护过程中，定期对设备配置、日志进行备份，在安全设备故障处理过程中的所有协调配合及总结报告工作。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9、为客户内部的相应迎检及对内/外检查工作提供技术支持及配合完成文档工作。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10、定期进行应急演练服务，专项检查及制度修订服务。</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11、对特殊情况或国家重大活动期间提供巡检或值守。</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12、配合</w:t>
      </w:r>
      <w:r>
        <w:rPr>
          <w:rFonts w:ascii="宋体" w:hAnsi="宋体" w:cs="仿宋_GB2312" w:hint="eastAsia"/>
          <w:sz w:val="22"/>
          <w:szCs w:val="22"/>
        </w:rPr>
        <w:t>采购</w:t>
      </w:r>
      <w:r w:rsidRPr="00B27CAA">
        <w:rPr>
          <w:rFonts w:ascii="宋体" w:hAnsi="宋体" w:cs="仿宋_GB2312" w:hint="eastAsia"/>
          <w:sz w:val="22"/>
          <w:szCs w:val="22"/>
        </w:rPr>
        <w:t>人完成其它临时性工作。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（2）服务要求</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1、服务人员应为信息安全、计算机及应用、计算机网络工程相关专业，3年以上从业经验，本科及以上学历。对网络安全有独到见解，有相关专业证书。服从</w:t>
      </w:r>
      <w:r>
        <w:rPr>
          <w:rFonts w:ascii="宋体" w:hAnsi="宋体" w:cs="仿宋_GB2312" w:hint="eastAsia"/>
          <w:sz w:val="22"/>
          <w:szCs w:val="22"/>
        </w:rPr>
        <w:t>采购</w:t>
      </w:r>
      <w:r w:rsidRPr="00B27CAA">
        <w:rPr>
          <w:rFonts w:ascii="宋体" w:hAnsi="宋体" w:cs="仿宋_GB2312" w:hint="eastAsia"/>
          <w:sz w:val="22"/>
          <w:szCs w:val="22"/>
        </w:rPr>
        <w:t>人的工作安排及配合完成其它临时性工作。</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lastRenderedPageBreak/>
        <w:t>2、安全及保密要求：严格遵守</w:t>
      </w:r>
      <w:r>
        <w:rPr>
          <w:rFonts w:ascii="宋体" w:hAnsi="宋体" w:cs="仿宋_GB2312" w:hint="eastAsia"/>
          <w:sz w:val="22"/>
          <w:szCs w:val="22"/>
        </w:rPr>
        <w:t>采购</w:t>
      </w:r>
      <w:r w:rsidRPr="00B27CAA">
        <w:rPr>
          <w:rFonts w:ascii="宋体" w:hAnsi="宋体" w:cs="仿宋_GB2312" w:hint="eastAsia"/>
          <w:sz w:val="22"/>
          <w:szCs w:val="22"/>
        </w:rPr>
        <w:t>人安全及保密管理规定，对工作中接触到的数据、文档资料、影像资料、图片、密码等承担保密义务，未经许可不得擅自提供给第三方人员，离岗前需销毁所接触的各类文档及电子资料。同时需加强个人及</w:t>
      </w:r>
      <w:proofErr w:type="gramStart"/>
      <w:r w:rsidRPr="00B27CAA">
        <w:rPr>
          <w:rFonts w:ascii="宋体" w:hAnsi="宋体" w:cs="仿宋_GB2312" w:hint="eastAsia"/>
          <w:sz w:val="22"/>
          <w:szCs w:val="22"/>
        </w:rPr>
        <w:t>工作厂</w:t>
      </w:r>
      <w:proofErr w:type="gramEnd"/>
      <w:r w:rsidRPr="00B27CAA">
        <w:rPr>
          <w:rFonts w:ascii="宋体" w:hAnsi="宋体" w:cs="仿宋_GB2312" w:hint="eastAsia"/>
          <w:sz w:val="22"/>
          <w:szCs w:val="22"/>
        </w:rPr>
        <w:t>所的安全管理。应与</w:t>
      </w:r>
      <w:r>
        <w:rPr>
          <w:rFonts w:ascii="宋体" w:hAnsi="宋体" w:cs="仿宋_GB2312" w:hint="eastAsia"/>
          <w:sz w:val="22"/>
          <w:szCs w:val="22"/>
        </w:rPr>
        <w:t>采购</w:t>
      </w:r>
      <w:r w:rsidRPr="00B27CAA">
        <w:rPr>
          <w:rFonts w:ascii="宋体" w:hAnsi="宋体" w:cs="仿宋_GB2312" w:hint="eastAsia"/>
          <w:sz w:val="22"/>
          <w:szCs w:val="22"/>
        </w:rPr>
        <w:t>方</w:t>
      </w:r>
      <w:proofErr w:type="gramStart"/>
      <w:r w:rsidRPr="00B27CAA">
        <w:rPr>
          <w:rFonts w:ascii="宋体" w:hAnsi="宋体" w:cs="仿宋_GB2312" w:hint="eastAsia"/>
          <w:sz w:val="22"/>
          <w:szCs w:val="22"/>
        </w:rPr>
        <w:t>签定</w:t>
      </w:r>
      <w:proofErr w:type="gramEnd"/>
      <w:r w:rsidRPr="00B27CAA">
        <w:rPr>
          <w:rFonts w:ascii="宋体" w:hAnsi="宋体" w:cs="仿宋_GB2312" w:hint="eastAsia"/>
          <w:sz w:val="22"/>
          <w:szCs w:val="22"/>
        </w:rPr>
        <w:t>安全及保密责任状。</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3、对ITIL流程熟悉，能按服务流程在服务巡检、事件受理、问题管理、变更管理等服务过程中严格执行。</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4、服务的长期保障，确保日常、</w:t>
      </w:r>
      <w:proofErr w:type="gramStart"/>
      <w:r w:rsidRPr="00B27CAA">
        <w:rPr>
          <w:rFonts w:ascii="宋体" w:hAnsi="宋体" w:cs="仿宋_GB2312" w:hint="eastAsia"/>
          <w:sz w:val="22"/>
          <w:szCs w:val="22"/>
        </w:rPr>
        <w:t>重保及</w:t>
      </w:r>
      <w:proofErr w:type="gramEnd"/>
      <w:r w:rsidRPr="00B27CAA">
        <w:rPr>
          <w:rFonts w:ascii="宋体" w:hAnsi="宋体" w:cs="仿宋_GB2312" w:hint="eastAsia"/>
          <w:sz w:val="22"/>
          <w:szCs w:val="22"/>
        </w:rPr>
        <w:t>关键业务应用高峰期，应有充足的专人在现场进行保障，具有畅通的服务保障渠道和良好的服务支持团队。</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5、严格遵守</w:t>
      </w:r>
      <w:r>
        <w:rPr>
          <w:rFonts w:ascii="宋体" w:hAnsi="宋体" w:cs="仿宋_GB2312" w:hint="eastAsia"/>
          <w:sz w:val="22"/>
          <w:szCs w:val="22"/>
        </w:rPr>
        <w:t>采购</w:t>
      </w:r>
      <w:r w:rsidRPr="00B27CAA">
        <w:rPr>
          <w:rFonts w:ascii="宋体" w:hAnsi="宋体" w:cs="仿宋_GB2312" w:hint="eastAsia"/>
          <w:sz w:val="22"/>
          <w:szCs w:val="22"/>
        </w:rPr>
        <w:t>人各项规章制度，包括安全管理、考勤管理、风险管理、形为规范、绩效管理、现场服务管理等。</w:t>
      </w:r>
    </w:p>
    <w:p w:rsidR="001118CB" w:rsidRPr="00B27CAA" w:rsidRDefault="001118CB" w:rsidP="001118CB">
      <w:pPr>
        <w:spacing w:line="360" w:lineRule="auto"/>
        <w:ind w:firstLineChars="200" w:firstLine="440"/>
        <w:rPr>
          <w:rFonts w:ascii="宋体" w:hAnsi="宋体" w:cs="仿宋_GB2312" w:hint="eastAsia"/>
          <w:sz w:val="22"/>
          <w:szCs w:val="22"/>
        </w:rPr>
      </w:pPr>
      <w:r w:rsidRPr="00B27CAA">
        <w:rPr>
          <w:rFonts w:ascii="宋体" w:hAnsi="宋体" w:cs="仿宋_GB2312" w:hint="eastAsia"/>
          <w:sz w:val="22"/>
          <w:szCs w:val="22"/>
        </w:rPr>
        <w:t>（3）服务工作量</w:t>
      </w:r>
    </w:p>
    <w:p w:rsidR="001118CB" w:rsidRDefault="001118CB" w:rsidP="001118CB">
      <w:pPr>
        <w:spacing w:line="360" w:lineRule="auto"/>
        <w:ind w:firstLineChars="200" w:firstLine="440"/>
        <w:rPr>
          <w:rFonts w:ascii="宋体" w:hAnsi="宋体" w:cs="仿宋_GB2312"/>
          <w:sz w:val="22"/>
          <w:szCs w:val="22"/>
        </w:rPr>
      </w:pPr>
      <w:r w:rsidRPr="00B27CAA">
        <w:rPr>
          <w:rFonts w:ascii="宋体" w:hAnsi="宋体" w:cs="仿宋_GB2312" w:hint="eastAsia"/>
          <w:sz w:val="22"/>
          <w:szCs w:val="22"/>
        </w:rPr>
        <w:t>工作量≥8小时*240天=1920小时/年</w:t>
      </w:r>
      <w:r w:rsidRPr="00F03B4D">
        <w:rPr>
          <w:rFonts w:ascii="宋体" w:hAnsi="宋体" w:cs="仿宋_GB2312" w:hint="eastAsia"/>
          <w:sz w:val="22"/>
          <w:szCs w:val="22"/>
        </w:rPr>
        <w:t>。</w:t>
      </w:r>
    </w:p>
    <w:p w:rsidR="001118CB" w:rsidRPr="00DB3831" w:rsidRDefault="001118CB" w:rsidP="001118CB">
      <w:pPr>
        <w:pStyle w:val="2"/>
        <w:numPr>
          <w:ilvl w:val="0"/>
          <w:numId w:val="1"/>
        </w:numPr>
        <w:spacing w:before="100" w:after="100" w:line="240" w:lineRule="auto"/>
        <w:jc w:val="left"/>
        <w:rPr>
          <w:rFonts w:ascii="宋体" w:eastAsia="宋体" w:hAnsi="宋体" w:cs="仿宋_GB2312"/>
          <w:bCs/>
          <w:sz w:val="24"/>
        </w:rPr>
      </w:pPr>
      <w:r w:rsidRPr="00DB3831">
        <w:rPr>
          <w:rFonts w:ascii="宋体" w:eastAsia="宋体" w:hAnsi="宋体" w:cs="仿宋_GB2312" w:hint="eastAsia"/>
          <w:bCs/>
          <w:sz w:val="24"/>
        </w:rPr>
        <w:t>验收要求</w:t>
      </w:r>
      <w:r>
        <w:rPr>
          <w:rFonts w:ascii="宋体" w:eastAsia="宋体" w:hAnsi="宋体" w:cs="仿宋_GB2312" w:hint="eastAsia"/>
          <w:bCs/>
          <w:sz w:val="24"/>
        </w:rPr>
        <w:t>：</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1</w:t>
      </w:r>
      <w:r>
        <w:rPr>
          <w:rFonts w:ascii="宋体" w:hAnsi="宋体" w:cs="仿宋_GB2312" w:hint="eastAsia"/>
          <w:sz w:val="22"/>
          <w:szCs w:val="22"/>
        </w:rPr>
        <w:t>、验收方法：两次</w:t>
      </w:r>
      <w:r w:rsidRPr="004C5D7A">
        <w:rPr>
          <w:rFonts w:ascii="宋体" w:hAnsi="宋体" w:cs="仿宋_GB2312" w:hint="eastAsia"/>
          <w:sz w:val="22"/>
          <w:szCs w:val="22"/>
        </w:rPr>
        <w:t>验收。</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w:t>
      </w:r>
      <w:r>
        <w:rPr>
          <w:rFonts w:ascii="宋体" w:hAnsi="宋体" w:cs="仿宋_GB2312" w:hint="eastAsia"/>
          <w:sz w:val="22"/>
          <w:szCs w:val="22"/>
        </w:rPr>
        <w:t>、</w:t>
      </w:r>
      <w:r w:rsidRPr="004C5D7A">
        <w:rPr>
          <w:rFonts w:ascii="宋体" w:hAnsi="宋体" w:cs="仿宋_GB2312" w:hint="eastAsia"/>
          <w:sz w:val="22"/>
          <w:szCs w:val="22"/>
        </w:rPr>
        <w:t xml:space="preserve">验收条件： </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2.1</w:t>
      </w:r>
      <w:r>
        <w:rPr>
          <w:rFonts w:ascii="宋体" w:hAnsi="宋体" w:cs="仿宋_GB2312" w:hint="eastAsia"/>
          <w:sz w:val="22"/>
          <w:szCs w:val="22"/>
        </w:rPr>
        <w:t>．</w:t>
      </w:r>
      <w:r w:rsidRPr="004C5D7A">
        <w:rPr>
          <w:rFonts w:ascii="宋体" w:hAnsi="宋体" w:cs="仿宋_GB2312" w:hint="eastAsia"/>
          <w:sz w:val="22"/>
          <w:szCs w:val="22"/>
        </w:rPr>
        <w:t>乙方在合同约定的服务期限内完成服务内容；</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2.2</w:t>
      </w:r>
      <w:r>
        <w:rPr>
          <w:rFonts w:ascii="宋体" w:hAnsi="宋体" w:cs="仿宋_GB2312" w:hint="eastAsia"/>
          <w:sz w:val="22"/>
          <w:szCs w:val="22"/>
        </w:rPr>
        <w:t>．</w:t>
      </w:r>
      <w:r w:rsidRPr="004C5D7A">
        <w:rPr>
          <w:rFonts w:ascii="宋体" w:hAnsi="宋体" w:cs="仿宋_GB2312" w:hint="eastAsia"/>
          <w:sz w:val="22"/>
          <w:szCs w:val="22"/>
        </w:rPr>
        <w:t>验收时提供完整的服务评审报告、运维服务报告；</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3</w:t>
      </w:r>
      <w:r>
        <w:rPr>
          <w:rFonts w:ascii="宋体" w:hAnsi="宋体" w:cs="仿宋_GB2312" w:hint="eastAsia"/>
          <w:sz w:val="22"/>
          <w:szCs w:val="22"/>
        </w:rPr>
        <w:t>、</w:t>
      </w:r>
      <w:r w:rsidRPr="004C5D7A">
        <w:rPr>
          <w:rFonts w:ascii="宋体" w:hAnsi="宋体" w:cs="仿宋_GB2312" w:hint="eastAsia"/>
          <w:sz w:val="22"/>
          <w:szCs w:val="22"/>
        </w:rPr>
        <w:t>验收内容：完成合同约定的服务。</w:t>
      </w:r>
    </w:p>
    <w:p w:rsidR="001118CB" w:rsidRPr="004C5D7A" w:rsidRDefault="001118CB" w:rsidP="001118CB">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4</w:t>
      </w:r>
      <w:r>
        <w:rPr>
          <w:rFonts w:ascii="宋体" w:hAnsi="宋体" w:cs="仿宋_GB2312" w:hint="eastAsia"/>
          <w:sz w:val="22"/>
          <w:szCs w:val="22"/>
        </w:rPr>
        <w:t>、</w:t>
      </w:r>
      <w:r w:rsidRPr="004C5D7A">
        <w:rPr>
          <w:rFonts w:ascii="宋体" w:hAnsi="宋体" w:cs="仿宋_GB2312" w:hint="eastAsia"/>
          <w:sz w:val="22"/>
          <w:szCs w:val="22"/>
        </w:rPr>
        <w:t>验收标准：</w:t>
      </w:r>
      <w:r w:rsidRPr="00A31E4E">
        <w:rPr>
          <w:rFonts w:ascii="宋体" w:hAnsi="宋体" w:cs="仿宋_GB2312" w:hint="eastAsia"/>
          <w:sz w:val="22"/>
          <w:szCs w:val="22"/>
        </w:rPr>
        <w:t>全年无重大事故，SLA≥99%，故障4小时内解决，用户</w:t>
      </w:r>
      <w:proofErr w:type="gramStart"/>
      <w:r w:rsidRPr="00A31E4E">
        <w:rPr>
          <w:rFonts w:ascii="宋体" w:hAnsi="宋体" w:cs="仿宋_GB2312" w:hint="eastAsia"/>
          <w:sz w:val="22"/>
          <w:szCs w:val="22"/>
        </w:rPr>
        <w:t>满意≥</w:t>
      </w:r>
      <w:proofErr w:type="gramEnd"/>
      <w:r w:rsidRPr="00A31E4E">
        <w:rPr>
          <w:rFonts w:ascii="宋体" w:hAnsi="宋体" w:cs="仿宋_GB2312" w:hint="eastAsia"/>
          <w:sz w:val="22"/>
          <w:szCs w:val="22"/>
        </w:rPr>
        <w:t>85分，文档齐全</w:t>
      </w:r>
      <w:r w:rsidRPr="004C5D7A">
        <w:rPr>
          <w:rFonts w:ascii="宋体" w:hAnsi="宋体" w:cs="仿宋_GB2312" w:hint="eastAsia"/>
          <w:sz w:val="22"/>
          <w:szCs w:val="22"/>
        </w:rPr>
        <w:t>。</w:t>
      </w:r>
    </w:p>
    <w:p w:rsidR="001118CB" w:rsidRDefault="001118CB" w:rsidP="001118CB">
      <w:pPr>
        <w:autoSpaceDE w:val="0"/>
        <w:autoSpaceDN w:val="0"/>
        <w:adjustRightInd w:val="0"/>
        <w:spacing w:line="360" w:lineRule="auto"/>
        <w:ind w:firstLineChars="200" w:firstLine="440"/>
        <w:jc w:val="left"/>
        <w:rPr>
          <w:rFonts w:ascii="宋体" w:hAnsi="宋体" w:cs="仿宋_GB2312"/>
          <w:sz w:val="22"/>
          <w:szCs w:val="22"/>
        </w:rPr>
      </w:pPr>
      <w:r w:rsidRPr="004C5D7A">
        <w:rPr>
          <w:rFonts w:ascii="宋体" w:hAnsi="宋体" w:cs="仿宋_GB2312" w:hint="eastAsia"/>
          <w:sz w:val="22"/>
          <w:szCs w:val="22"/>
        </w:rPr>
        <w:t>5</w:t>
      </w:r>
      <w:r>
        <w:rPr>
          <w:rFonts w:ascii="宋体" w:hAnsi="宋体" w:cs="仿宋_GB2312" w:hint="eastAsia"/>
          <w:sz w:val="22"/>
          <w:szCs w:val="22"/>
        </w:rPr>
        <w:t>、</w:t>
      </w:r>
      <w:r w:rsidRPr="004C5D7A">
        <w:rPr>
          <w:rFonts w:ascii="宋体" w:hAnsi="宋体" w:cs="仿宋_GB2312" w:hint="eastAsia"/>
          <w:sz w:val="22"/>
          <w:szCs w:val="22"/>
        </w:rPr>
        <w:t>验收时间：合同约定的服务期限内完成服务内容后一月内完成验收</w:t>
      </w:r>
      <w:r>
        <w:rPr>
          <w:rFonts w:ascii="宋体" w:hAnsi="宋体" w:cs="仿宋_GB2312" w:hint="eastAsia"/>
          <w:sz w:val="22"/>
          <w:szCs w:val="22"/>
        </w:rPr>
        <w:t>。</w:t>
      </w:r>
    </w:p>
    <w:p w:rsidR="006B5781" w:rsidRPr="001118CB" w:rsidRDefault="006B5781">
      <w:bookmarkStart w:id="5" w:name="_GoBack"/>
      <w:bookmarkEnd w:id="0"/>
      <w:bookmarkEnd w:id="5"/>
    </w:p>
    <w:sectPr w:rsidR="006B5781" w:rsidRPr="00111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B6E"/>
    <w:multiLevelType w:val="hybridMultilevel"/>
    <w:tmpl w:val="D7849B52"/>
    <w:lvl w:ilvl="0" w:tplc="CD62B630">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CB"/>
    <w:rsid w:val="001118CB"/>
    <w:rsid w:val="006B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DFBB0-0C7D-4303-81E2-8A3CA6F5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8CB"/>
    <w:pPr>
      <w:widowControl w:val="0"/>
      <w:jc w:val="both"/>
    </w:pPr>
    <w:rPr>
      <w:rFonts w:ascii="Calibri" w:eastAsia="宋体" w:hAnsi="Calibri" w:cs="Times New Roman"/>
      <w:szCs w:val="24"/>
    </w:rPr>
  </w:style>
  <w:style w:type="paragraph" w:styleId="1">
    <w:name w:val="heading 1"/>
    <w:basedOn w:val="a"/>
    <w:next w:val="a"/>
    <w:link w:val="10"/>
    <w:qFormat/>
    <w:rsid w:val="001118CB"/>
    <w:pPr>
      <w:keepNext/>
      <w:keepLines/>
      <w:spacing w:before="340" w:after="330" w:line="576" w:lineRule="auto"/>
      <w:outlineLvl w:val="0"/>
    </w:pPr>
    <w:rPr>
      <w:b/>
      <w:kern w:val="44"/>
      <w:sz w:val="44"/>
      <w:szCs w:val="20"/>
    </w:rPr>
  </w:style>
  <w:style w:type="paragraph" w:styleId="2">
    <w:name w:val="heading 2"/>
    <w:basedOn w:val="a"/>
    <w:next w:val="a"/>
    <w:link w:val="20"/>
    <w:qFormat/>
    <w:rsid w:val="001118C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118CB"/>
    <w:rPr>
      <w:rFonts w:ascii="Calibri" w:eastAsia="宋体" w:hAnsi="Calibri" w:cs="Times New Roman"/>
      <w:b/>
      <w:kern w:val="44"/>
      <w:sz w:val="44"/>
      <w:szCs w:val="20"/>
    </w:rPr>
  </w:style>
  <w:style w:type="character" w:customStyle="1" w:styleId="20">
    <w:name w:val="标题 2 字符"/>
    <w:basedOn w:val="a0"/>
    <w:link w:val="2"/>
    <w:rsid w:val="001118CB"/>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2025-08-28T00:37:00Z</dcterms:created>
  <dcterms:modified xsi:type="dcterms:W3CDTF">2025-08-28T00:38:00Z</dcterms:modified>
</cp:coreProperties>
</file>