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5270F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 w:val="0"/>
        <w:topLinePunct w:val="0"/>
        <w:autoSpaceDE/>
        <w:autoSpaceDN/>
        <w:bidi w:val="0"/>
        <w:snapToGrid/>
        <w:spacing w:line="360" w:lineRule="auto"/>
        <w:ind w:left="4589" w:leftChars="52" w:hanging="4480" w:hangingChars="1600"/>
        <w:jc w:val="left"/>
        <w:rPr>
          <w:rFonts w:hint="default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附件1：服务内容及要求</w:t>
      </w:r>
    </w:p>
    <w:p w14:paraId="04554187">
      <w:pPr>
        <w:spacing w:line="560" w:lineRule="exact"/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一、总体目标</w:t>
      </w:r>
    </w:p>
    <w:p w14:paraId="55BF8AFE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为加强我县高标准农田建设和工程质量监管，提高农田建设质量和水平，保证高标准农田投资效益，根据四川省农业农村厅《全省加力推进高标准农田建设突出问题整治工作方案》（川农函〔2026〕102号）和成都市农业农村局《成都市高标准农田建设突出问题专项整治工作方案》（成农办〔2026〕19号）工作要求，聚焦规划设计不合理的问题、招标投标不合规的问题、工程质量不达标的问题等7个方面，坚持“查、改、治”一体推进，对已发现并整改的问题全覆盖回头看，对项目建设全环节排查，强力推进高标准农田建设突出问题专项整治，确保存量问题清仓见底。</w:t>
      </w:r>
    </w:p>
    <w:p w14:paraId="30441FE5">
      <w:pPr>
        <w:spacing w:line="560" w:lineRule="exact"/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二、排查范围</w:t>
      </w:r>
    </w:p>
    <w:p w14:paraId="40886411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针对2019年－2026年外业工程设施摸查已建成、在建及待建的高标准农田项目共10个。已建成的高标准农田项目共6个：①四川省大邑县中央预算内投资高标准农田建设项目、②四川省成都市大邑县2019年永济堰片区高标准农田建设项目、③四川省成都市大邑县2020年永济堰片区高标准农田建设项目、④四川省成都市2021年大邑县西河片区高标准农田建设项目、⑤成都市2022年大邑县高标准农田建设项目、⑥四川省成都市2024年大邑县新场镇、安仁镇高标准农田改造提升项目。在建的高标准农田项目共2个：①成都市2024年大邑县成都平原区水田恢复建设项目、②四川省成都市2025年大邑县安仁镇高标准农田改造提升项目。待建的高标准农田项目共2个：①四川省成都市2026年大邑县安仁镇、沙渠街道高标准农田改造提升项目、②成都市大邑县2025年成都平原区水田恢复项目。</w:t>
      </w:r>
    </w:p>
    <w:p w14:paraId="4B73ABC7">
      <w:pPr>
        <w:spacing w:line="560" w:lineRule="exact"/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三、排查内容及要求</w:t>
      </w:r>
    </w:p>
    <w:p w14:paraId="2F91D5B3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针对2019年以来我单位组织实施的高标准农田建设项目的现有材料进行审查：（一）规划设计是否合理；（二）招标投标是否合规；（三）资金使用是否规范；（四）是否严格按要求进行竣工验收。</w:t>
      </w:r>
      <w:r>
        <w:rPr>
          <w:rFonts w:hint="eastAsia" w:ascii="楷体" w:hAnsi="楷体" w:eastAsia="楷体" w:cs="楷体"/>
          <w:spacing w:val="5"/>
          <w:kern w:val="28"/>
          <w:sz w:val="28"/>
          <w:szCs w:val="28"/>
        </w:rPr>
        <w:t>针对以上内容</w:t>
      </w:r>
      <w:r>
        <w:rPr>
          <w:rFonts w:hint="eastAsia" w:ascii="楷体" w:hAnsi="楷体" w:eastAsia="楷体" w:cs="楷体"/>
          <w:spacing w:val="-2"/>
          <w:kern w:val="28"/>
          <w:sz w:val="28"/>
          <w:szCs w:val="28"/>
        </w:rPr>
        <w:t>分类建立问题台账。</w:t>
      </w:r>
    </w:p>
    <w:p w14:paraId="08BFF6CB">
      <w:pPr>
        <w:spacing w:line="560" w:lineRule="exact"/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四、成果提交</w:t>
      </w:r>
    </w:p>
    <w:p w14:paraId="51141CB7">
      <w:pPr>
        <w:spacing w:line="560" w:lineRule="exact"/>
        <w:ind w:firstLine="560" w:firstLineChars="200"/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2026年</w:t>
      </w:r>
      <w:r>
        <w:rPr>
          <w:rFonts w:hint="eastAsia" w:ascii="楷体" w:hAnsi="楷体" w:eastAsia="楷体" w:cs="楷体"/>
          <w:sz w:val="28"/>
          <w:szCs w:val="28"/>
        </w:rPr>
        <w:t>专项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整治大邑县高标准农田建设项目咨询报告及附表（附表：1.大邑县高标准农田建设项目资金支出情况表；2.2026年专项整治大邑县高标准农田建设项目问题情况表）。</w:t>
      </w:r>
    </w:p>
    <w:p w14:paraId="00C6EFDC">
      <w:pPr>
        <w:spacing w:line="560" w:lineRule="exact"/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五、工期要求</w:t>
      </w:r>
    </w:p>
    <w:p w14:paraId="6AEC727B">
      <w:pPr>
        <w:pStyle w:val="6"/>
        <w:widowControl/>
        <w:spacing w:beforeAutospacing="0" w:afterAutospacing="0" w:line="560" w:lineRule="exact"/>
        <w:ind w:firstLine="560" w:firstLineChars="200"/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2026年5月26日前完成。</w:t>
      </w:r>
    </w:p>
    <w:p w14:paraId="0BF0D54B">
      <w:pPr>
        <w:spacing w:line="560" w:lineRule="exact"/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六、资格条件</w:t>
      </w:r>
    </w:p>
    <w:p w14:paraId="31335FF6">
      <w:pPr>
        <w:snapToGrid w:val="0"/>
        <w:spacing w:line="560" w:lineRule="exact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1.具有独立承担民事责任的能力；</w:t>
      </w:r>
    </w:p>
    <w:p w14:paraId="1AF51F4F">
      <w:pPr>
        <w:snapToGrid w:val="0"/>
        <w:spacing w:line="560" w:lineRule="exact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2.具有良好的商业信誉和健全的财务会计制度；</w:t>
      </w:r>
    </w:p>
    <w:p w14:paraId="48BEE35B">
      <w:pPr>
        <w:snapToGrid w:val="0"/>
        <w:spacing w:line="560" w:lineRule="exact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3.具有履行合同所必需的设备和专业技术能力；</w:t>
      </w:r>
    </w:p>
    <w:p w14:paraId="5E24E2BD">
      <w:pPr>
        <w:snapToGrid w:val="0"/>
        <w:spacing w:line="560" w:lineRule="exact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4.有依法缴纳税收和社会保障资金的良好记录；</w:t>
      </w:r>
    </w:p>
    <w:p w14:paraId="481B4DD8">
      <w:pPr>
        <w:snapToGrid w:val="0"/>
        <w:spacing w:line="560" w:lineRule="exact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5.参加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询价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活动前三年内，在经营活动中没有重大违法记录；</w:t>
      </w:r>
    </w:p>
    <w:p w14:paraId="5A86217F">
      <w:pPr>
        <w:snapToGrid w:val="0"/>
        <w:spacing w:line="560" w:lineRule="exact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6.法律、行政法规规定的其他条件；</w:t>
      </w:r>
    </w:p>
    <w:p w14:paraId="4CDE0EE9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360" w:lineRule="auto"/>
        <w:ind w:left="0" w:right="0" w:firstLine="625"/>
        <w:jc w:val="left"/>
        <w:textAlignment w:val="baseline"/>
        <w:rPr>
          <w:rFonts w:hint="eastAsia" w:ascii="楷体" w:hAnsi="楷体" w:eastAsia="楷体" w:cs="楷体"/>
          <w:snapToGrid/>
          <w:spacing w:val="-2"/>
          <w:kern w:val="28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F1594"/>
    <w:rsid w:val="0A570706"/>
    <w:rsid w:val="3BC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5"/>
    <w:qFormat/>
    <w:uiPriority w:val="0"/>
    <w:pPr>
      <w:ind w:firstLine="420" w:firstLineChars="200"/>
    </w:pPr>
    <w:rPr>
      <w:rFonts w:ascii="楷体_GB2312" w:eastAsia="楷体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943</Words>
  <Characters>1008</Characters>
  <Lines>0</Lines>
  <Paragraphs>0</Paragraphs>
  <TotalTime>0</TotalTime>
  <ScaleCrop>false</ScaleCrop>
  <LinksUpToDate>false</LinksUpToDate>
  <CharactersWithSpaces>1008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2026-05-12T09:15:00Z</dcterms:created>
  <dc:creator>A</dc:creator>
  <cp:lastModifiedBy>A</cp:lastModifiedBy>
  <dcterms:modified xsi:type="dcterms:W3CDTF">2026-06-24T16:40:04Z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B79A1DBBD47440738D6880D02D20BEE3_11</vt:lpwstr>
  </property>
  <property fmtid="{D5CDD505-2E9C-101B-9397-08002B2CF9AE}" pid="4" name="KSOTemplateDocerSaveRecord">
    <vt:lpwstr>eyJoZGlkIjoiMDc2OTdjOWY2ZTZkYTFiNmE1NWQzNTgxMThjMTU0MjAiLCJ1c2VySWQiOiIzNzQ5NzA2NzIifQ==</vt:lpwstr>
  </property>
</Properties>
</file>