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FCA98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  <w:r>
        <w:rPr>
          <w:rFonts w:hint="eastAsia" w:ascii="宋体" w:hAnsi="宋体"/>
          <w:color w:val="000000"/>
          <w:sz w:val="24"/>
          <w:szCs w:val="24"/>
          <w:lang w:val="en-US" w:eastAsia="zh-CN"/>
        </w:rPr>
        <w:t>附件：</w:t>
      </w:r>
      <w:r>
        <w:rPr>
          <w:rFonts w:hint="eastAsia" w:ascii="宋体" w:hAnsi="宋体" w:cs="宋体"/>
          <w:b w:val="0"/>
          <w:bCs w:val="0"/>
          <w:color w:val="auto"/>
          <w:sz w:val="24"/>
          <w:szCs w:val="24"/>
          <w:lang w:val="en-US" w:eastAsia="zh-CN"/>
        </w:rPr>
        <w:t>技术参数要求清单</w:t>
      </w:r>
    </w:p>
    <w:tbl>
      <w:tblPr>
        <w:tblStyle w:val="2"/>
        <w:tblW w:w="9039" w:type="dxa"/>
        <w:tblInd w:w="-21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660"/>
        <w:gridCol w:w="1140"/>
        <w:gridCol w:w="6714"/>
      </w:tblGrid>
      <w:tr w14:paraId="6D546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450" w:hRule="atLeast"/>
        </w:trPr>
        <w:tc>
          <w:tcPr>
            <w:tcW w:w="903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34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警保管家软件系统功能清单</w:t>
            </w:r>
          </w:p>
        </w:tc>
      </w:tr>
      <w:tr w14:paraId="4F93E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82F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B0A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功能模块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1A7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子模块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5DB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功能简述</w:t>
            </w:r>
          </w:p>
        </w:tc>
      </w:tr>
      <w:tr w14:paraId="064F0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28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4880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出差申报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2FE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8D6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出差事先审批，通过PC端系统或者移动警务终端填报出差申请，提交给部门领导或分管领导审批。填报内容含：出差事由、行程、出行人员、出发时间和预计回程时间、出行工具等信息。</w:t>
            </w:r>
          </w:p>
        </w:tc>
      </w:tr>
      <w:tr w14:paraId="77CAB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448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DE6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42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用车信息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D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如选择公车或私车出行，需填报出行车辆信息、填报私车出差登记单，和公务用车审批单，支持打印；</w:t>
            </w:r>
          </w:p>
        </w:tc>
      </w:tr>
      <w:tr w14:paraId="4F0A56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685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FDBF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1D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B4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根据审批流程将申请单流转至下一环节审批人，PC端与移动端均可收到审批提醒信息。</w:t>
            </w:r>
          </w:p>
        </w:tc>
      </w:tr>
      <w:tr w14:paraId="0CC57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E1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865C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F61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生成单据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008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审批流程结束，系统自动生成审批单据，支持打印查阅。</w:t>
            </w:r>
          </w:p>
        </w:tc>
      </w:tr>
      <w:tr w14:paraId="72FAD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841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619D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6FB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数据关联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5C7D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出差审批单自动与差旅费报销单关联。</w:t>
            </w:r>
          </w:p>
        </w:tc>
      </w:tr>
      <w:tr w14:paraId="27FEF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FB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A10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差旅费申报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357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差旅报销填报</w:t>
            </w:r>
          </w:p>
        </w:tc>
        <w:tc>
          <w:tcPr>
            <w:tcW w:w="6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40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经办人或本人填写报销明细信息，选择差旅类型：差旅、培训（是否含食宿）、会议（是否含食宿）、办案。设置出发地和目的地的可选项，地址层级到县级地域。出行方式分为：私家车、公车、租车、搭便车、公共交通工具出行，出行工具可复选，除公共交通工具外，其他出行方式需填报车牌号。支出多行程填报，不同行程人员选择自定义，行程支持修改和删除</w:t>
            </w:r>
          </w:p>
        </w:tc>
      </w:tr>
      <w:tr w14:paraId="68A06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F4A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A0E2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2E428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E377C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2D9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FE7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577A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9424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B97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0423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A9E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C51E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FDE5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53B2D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EC7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9D9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F0D5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5A2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上传附件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972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将票据拍照上传至系统，系统自动识别票据编号或者票据二维码，如出现重复票据则上传不起。</w:t>
            </w:r>
          </w:p>
        </w:tc>
      </w:tr>
      <w:tr w14:paraId="781CA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51F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DED3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9B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费用生成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B9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系统根据申请人选填的信息自动生成公杂费、伙食补助、住宿费等应报销标准，超出标准予以提示理；交通费与住宿费需手工录入。</w:t>
            </w:r>
          </w:p>
        </w:tc>
      </w:tr>
      <w:tr w14:paraId="0C9FF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865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CD67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4F1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费用填报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35B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系统根据选填出差人信息自动生成该段行程的所有费用合计，并显示报销人银行卡信息，填报人根据实际个人费用发生情况填写金额。差旅行程目的地增加手工填报地址信息；设置差旅标准超额后无法提交申报</w:t>
            </w:r>
          </w:p>
        </w:tc>
      </w:tr>
      <w:tr w14:paraId="2BB1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F1A9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4897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0CA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填报要求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5F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为避免重复申请差旅费用报销，同一时间段同一人不允许多次申报差旅，且系统会给予提示。未填报出差审批单情况下无法填报差旅费报销单。</w:t>
            </w:r>
          </w:p>
        </w:tc>
      </w:tr>
      <w:tr w14:paraId="381DA4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D1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7F3C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0A7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</w:t>
            </w:r>
          </w:p>
        </w:tc>
        <w:tc>
          <w:tcPr>
            <w:tcW w:w="6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D9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差旅费申报管理办法，逐级审批。审批流程均可通过移动警务终端和PC端后台审批，实现无纸化审批；财务人员凭“差旅报销单”，核对差旅报销系统对应编码，审核无误后将电子单据勾选为“审批通过”状态；提交系统电子报销单在规定期限内若无人交纸质单据核销，系统将默认该单为“无效单”；若纸质单据与系统电子单据数据信息不一致，受理人员不予受理，并将电子单据标记为“无效单”出纳人员根据费用生成的表单填写报账凭证</w:t>
            </w:r>
          </w:p>
        </w:tc>
      </w:tr>
      <w:tr w14:paraId="6F847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BB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3B0C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7E6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8F33B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784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386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86E3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5A75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62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52C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2D0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F4948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FAA2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FBB6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26CA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94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9F73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F538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5092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2D4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B85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01FC8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48D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表单生成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21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审批通过后，系统自动生成差旅费报销单，和报账凭证，可在线预览和打印</w:t>
            </w:r>
          </w:p>
        </w:tc>
      </w:tr>
      <w:tr w14:paraId="2F5A3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3EF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BD57C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AD0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统计报表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768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报表类型：报销列表、出差列表、部分费用统计、人员费用统计</w:t>
            </w:r>
          </w:p>
        </w:tc>
      </w:tr>
      <w:tr w14:paraId="2D6DC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B17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EA3F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4C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标准维护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36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根据公务员人员差旅费报销标准设定计算公式，报销标准支持修改，如：地域、级别、淡旺季等</w:t>
            </w:r>
          </w:p>
        </w:tc>
      </w:tr>
      <w:tr w14:paraId="72EAB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8F1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F704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84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查询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A0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个人用户查询提交的报销单据明细及审核状态；</w:t>
            </w:r>
          </w:p>
        </w:tc>
      </w:tr>
      <w:tr w14:paraId="57E73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DAD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0567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504E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E5C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财务人员拥有查询、审批、修改、数据导出、数据维护权限；</w:t>
            </w:r>
          </w:p>
        </w:tc>
      </w:tr>
      <w:tr w14:paraId="140A48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E6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893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付款申请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085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0AB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选择经费来源，经费类型，金额、收款人信息、用途摘要、涉及到车辆填写车辆信息、涉及到项目关联合同信息、上传凭证，提交给下一审批人</w:t>
            </w:r>
          </w:p>
        </w:tc>
      </w:tr>
      <w:tr w14:paraId="4B391B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04E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AAFA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D6B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C2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部门负责人、分管部门领导、出纳人员、会计人员逐级审批。财务人员可修改经费类型；</w:t>
            </w:r>
          </w:p>
        </w:tc>
      </w:tr>
      <w:tr w14:paraId="2F0DD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18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3EA4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5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生成表单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3257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根据填报内容生成报销单，电子凭证，支持单据打印和预览</w:t>
            </w:r>
          </w:p>
        </w:tc>
      </w:tr>
      <w:tr w14:paraId="189BD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9634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8B52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E0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统计报表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57C6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报表设置自定义字段搜索功能，根据类别时间自动汇总金额、单据数量，通过颜色区分项目预算预警提醒；报表支持导出。</w:t>
            </w:r>
          </w:p>
        </w:tc>
      </w:tr>
      <w:tr w14:paraId="2FB72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14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DF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工资管理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066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数据导入</w:t>
            </w:r>
          </w:p>
        </w:tc>
        <w:tc>
          <w:tcPr>
            <w:tcW w:w="6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CF31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通过PC端将工资明细数据导入系统，支持模板导入；导入格式根据工资发放标准字段，可自定义编辑该字段；设置推送模式，将工资明细推送到移动终端，通过手机端接收提醒信息查看工资明细；</w:t>
            </w:r>
          </w:p>
        </w:tc>
      </w:tr>
      <w:tr w14:paraId="7F21B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5FE7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C038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700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AA89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A2B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D5C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3335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8D57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9C88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95B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0BE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9FF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C5B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工资查询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CF73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工资发放后，用户可登陆系统或者手机端查询当月及历史工资明细，个人全年收入情况汇总查询</w:t>
            </w:r>
          </w:p>
        </w:tc>
      </w:tr>
      <w:tr w14:paraId="1657E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E1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F5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采购管理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2E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填写采购计划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0E8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由申请部门填报采购计划，采购内容、用途、预算金额、采购人/部门。</w:t>
            </w:r>
          </w:p>
        </w:tc>
      </w:tr>
      <w:tr w14:paraId="5B49B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3FA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86E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CE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EF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采购计划中设定采购科目，分为:固定资产和非固定资产。录入人录入详细采购信息，如：规格、型号、价格、数量。</w:t>
            </w:r>
          </w:p>
        </w:tc>
      </w:tr>
      <w:tr w14:paraId="63C5C2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26D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0EFFB2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358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采购计划审批</w:t>
            </w:r>
          </w:p>
        </w:tc>
        <w:tc>
          <w:tcPr>
            <w:tcW w:w="6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E86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采购价格在500元以下，部门负责人审批后自行才后；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采购价格在500元以上，由各级领导逐级审批；</w:t>
            </w:r>
          </w:p>
        </w:tc>
      </w:tr>
      <w:tr w14:paraId="4D768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504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B52D8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B4A2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8524E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24A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7E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409D7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8B5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采购汇总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97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汇总各部门的采购需求，管理部门可及时了解下属单位的采购计划采购项目。</w:t>
            </w:r>
          </w:p>
        </w:tc>
      </w:tr>
      <w:tr w14:paraId="34BDE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AC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B4241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30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采购完成</w:t>
            </w:r>
          </w:p>
        </w:tc>
        <w:tc>
          <w:tcPr>
            <w:tcW w:w="6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A5F9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针对立项的采购计划进行归档，根据采购项目立项完成情况，对系统填报的信息进行归档处理。分为：取消采购、采购完成。采购完成后如涉及到固定资产部分的数据与“资产管理模块”中资产数据关联，自动生成为新增固定资产入库，纳入资管管理。</w:t>
            </w:r>
          </w:p>
        </w:tc>
      </w:tr>
      <w:tr w14:paraId="702AA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E4AC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F596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22DEA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C5DF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D61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72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73B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资产管理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706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在用资产管理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AC2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在用和借出设备的状态管理，记录设备转移、调拨和配置变动的动态信息。</w:t>
            </w:r>
          </w:p>
        </w:tc>
      </w:tr>
      <w:tr w14:paraId="33C9C8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97A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9164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80F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丢失、报废管理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81E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对过了使用年限、无维修价值或无法修复等原因需要报废的设备通过“固定资产报废审批”流程做设备销帐处理</w:t>
            </w:r>
          </w:p>
        </w:tc>
      </w:tr>
      <w:tr w14:paraId="031D4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1F3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89A3D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39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设备折旧管理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74F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根据设备的使用年限对设备进行折旧计算处理，预测设备报废时间及技术改造后设备增值统计。包括：折旧处理、技改管理和报废预测。</w:t>
            </w:r>
          </w:p>
        </w:tc>
      </w:tr>
      <w:tr w14:paraId="759AEA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684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1CF64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17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入库、调拨管理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E1F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核查设备入库单、建立资产条码和设备台帐，关联从属信息等</w:t>
            </w:r>
          </w:p>
        </w:tc>
      </w:tr>
      <w:tr w14:paraId="62F663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DD8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DE0E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56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出库管理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E80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指定出库设备、设置设备的状态属性、生成新设备的条码，打印出库单等。</w:t>
            </w:r>
          </w:p>
        </w:tc>
      </w:tr>
      <w:tr w14:paraId="2179B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69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1A4D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9D3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条码生成/查询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16F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由于每件物资都与一条码对应，每件物资都与一条码对应，系统根据设备入库情况生成与之对应二维码，</w:t>
            </w:r>
          </w:p>
        </w:tc>
      </w:tr>
      <w:tr w14:paraId="018B2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D5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1A442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5A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应急物资管理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E87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增加应急物资类型，可单独查看应急物资管理情况</w:t>
            </w:r>
          </w:p>
        </w:tc>
      </w:tr>
      <w:tr w14:paraId="0467A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340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6A89B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B23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综合查询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782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库存、在用、维修和报废状态下的各种设备的全面信息，以及设备的增加与减少、借用与归还、设备的转移与维修记录等内容的查询，查询其条件可任意组合。</w:t>
            </w:r>
          </w:p>
        </w:tc>
      </w:tr>
      <w:tr w14:paraId="061614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8E0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8820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372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统计分析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752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根据资产管理作业记录实现完整的经济技术指标的统计，同时能分析资产结构、可利用率和预测资产走向及趋势</w:t>
            </w:r>
          </w:p>
        </w:tc>
      </w:tr>
      <w:tr w14:paraId="7AE8C4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BA02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C0514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78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全寿命管理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CB2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对固定资产使用年限到期进行提醒</w:t>
            </w:r>
          </w:p>
        </w:tc>
      </w:tr>
      <w:tr w14:paraId="2AD32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A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1E8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车辆管理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B202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车辆申请审批管理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1F6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实现车辆的使用申请、审批审核、用车调派管理的流程化管理，一车一单、一事一单，申请流程灵活配置，可用车辆、可用人员直观显示。</w:t>
            </w:r>
          </w:p>
        </w:tc>
      </w:tr>
      <w:tr w14:paraId="43151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5FB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14C0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B1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车辆及驾驶员档案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DCEDF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驾驶员基本信息如：姓名、年龄、籍贯、驾龄、驾证、车况等信息等。</w:t>
            </w:r>
          </w:p>
        </w:tc>
      </w:tr>
      <w:tr w14:paraId="5F65CC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7F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9A56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51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16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车辆基本信息：车牌号、颜色、品牌、用途、购置时间、等</w:t>
            </w:r>
          </w:p>
        </w:tc>
      </w:tr>
      <w:tr w14:paraId="5A0B8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90D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29BF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4D9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违章统计和报警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35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对车辆的违章、车辆归还情况等进行统计和分析</w:t>
            </w:r>
          </w:p>
        </w:tc>
      </w:tr>
      <w:tr w14:paraId="1B5DD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3F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65F4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9B78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车辆维修保养提醒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93E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对车辆保险、保养、维修提醒进行提醒，移动端主动发起提醒信息</w:t>
            </w:r>
          </w:p>
        </w:tc>
      </w:tr>
      <w:tr w14:paraId="29467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CFF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766AB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2A93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车辆营运统计及报表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49D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执法执勤用车管理系统对车辆所发生各项事项进行统计，并将统计结果形成报表，也可以直接导出文档。增加加油小票上传、行车里程数上传；统计车辆加油数据、行程数据；设定异常提醒</w:t>
            </w:r>
          </w:p>
        </w:tc>
      </w:tr>
      <w:tr w14:paraId="5C78AF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67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53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被装申领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C5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C4C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管理人员将到库被装数据批量导入系统，设定导入格式；</w:t>
            </w:r>
          </w:p>
        </w:tc>
      </w:tr>
      <w:tr w14:paraId="02BA1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2D1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01CBD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6B4B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申领操作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18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用户通过移动警务终端可知晓可申领被装明细，可随时在线提交申领需求，线下找管理人员领取。</w:t>
            </w:r>
          </w:p>
        </w:tc>
      </w:tr>
      <w:tr w14:paraId="1687F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AC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1AD0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0C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审批流程</w:t>
            </w:r>
          </w:p>
        </w:tc>
        <w:tc>
          <w:tcPr>
            <w:tcW w:w="671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6F2C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管理员可通过移动警务终端以及PC端查看被装申领申请单，审批通过后下发信息给领用人；记录领用时间，确认被装已领用；</w:t>
            </w:r>
          </w:p>
        </w:tc>
      </w:tr>
      <w:tr w14:paraId="2CE4A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8E8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1BE35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9B7B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9913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B4E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15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C1B4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A4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统计查询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93E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管理员可查看全局被装领用情况；用户可查询名下已申领及未申领被装情况；领用单据支持在线打印。</w:t>
            </w:r>
          </w:p>
        </w:tc>
      </w:tr>
      <w:tr w14:paraId="0E817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F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23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维修申报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85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维修申请管理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26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维修申单填报，维修设备名称、报修时间、报修内容、预计金额</w:t>
            </w:r>
          </w:p>
        </w:tc>
      </w:tr>
      <w:tr w14:paraId="24DFF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DC3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4B5F9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9C5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审批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C25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根据流程设计逐级审批，自动生成审批单据，并支持打印。</w:t>
            </w:r>
          </w:p>
        </w:tc>
      </w:tr>
      <w:tr w14:paraId="1B83D4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B01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68BE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3BA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维修记录查询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99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生成维修台帐，支持关键字段查询、数据导出</w:t>
            </w:r>
          </w:p>
        </w:tc>
      </w:tr>
      <w:tr w14:paraId="308FF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68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C0C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政策法规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2D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内容编辑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9836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发布政策类规章制度、政策法规等新闻信息，供民警查阅，并提供智能糊搜索、多功能编辑器，支持文字编辑排版、图片上传、视频上传。</w:t>
            </w:r>
          </w:p>
        </w:tc>
      </w:tr>
      <w:tr w14:paraId="751691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050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DCD1B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5AE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内容管理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04A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支持二次编辑、删除、新闻隐藏等功能，并分配权限管理。可设置新闻置顶。</w:t>
            </w:r>
          </w:p>
        </w:tc>
      </w:tr>
      <w:tr w14:paraId="3D8871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11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A48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食堂管理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93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5F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根据行政区域设置食堂名称，管理部门。系统管理员可自定义新增或删除，并提供检索功能；</w:t>
            </w:r>
          </w:p>
        </w:tc>
      </w:tr>
      <w:tr w14:paraId="0528C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599A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75907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94F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分类管理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E46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食堂采购所需物品进行分类设置，例如：蔬菜、干杂、粮油、水果等，系统管理员可自定义新增或删除，并提供检索功能；</w:t>
            </w:r>
          </w:p>
        </w:tc>
      </w:tr>
      <w:tr w14:paraId="433D0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569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3295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F70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菜品管理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24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设定食堂日常采购菜品的明细，以及设定菜品参考价格及单位，系统管理员可自定义新增或删除，并提供检索功能；</w:t>
            </w:r>
          </w:p>
        </w:tc>
      </w:tr>
      <w:tr w14:paraId="17BD2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8FC4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201E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02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台账管理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6D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食堂采购人员每天或定期录入采购物品明细、数量，系统自动生成合计金额，并形成报表，报表支持导出明细；</w:t>
            </w:r>
          </w:p>
        </w:tc>
      </w:tr>
      <w:tr w14:paraId="76C65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FC9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0CEF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F3E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8C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1、协助将当前食堂用餐登记系统部署至公安网；</w:t>
            </w:r>
          </w:p>
        </w:tc>
      </w:tr>
      <w:tr w14:paraId="23F08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CE7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BA3C3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C6E4B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FF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2、采集民警用餐数据；</w:t>
            </w:r>
          </w:p>
        </w:tc>
      </w:tr>
      <w:tr w14:paraId="4A89C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77C0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F128F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0307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D31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3、用餐数据与差旅数据关联，差异数据提取及提示</w:t>
            </w:r>
          </w:p>
        </w:tc>
      </w:tr>
      <w:tr w14:paraId="36CD3F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2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9C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项目申报（调整模块）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984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033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项目名称、项目部门、项目金额、类型、项目负责人、立项时间、项目附件（内部比选项目录入比选公司、报价信息，2、政府采购项目录入招标公告、中标通知书）</w:t>
            </w:r>
          </w:p>
        </w:tc>
      </w:tr>
      <w:tr w14:paraId="08CACA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6BC0D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46E16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2C7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查询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7C6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1、项目管理</w:t>
            </w:r>
          </w:p>
        </w:tc>
      </w:tr>
      <w:tr w14:paraId="1ED713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9E0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A5B46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877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EF1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2、项目统计</w:t>
            </w:r>
          </w:p>
        </w:tc>
      </w:tr>
      <w:tr w14:paraId="2F9DAF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5E7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E297B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68D5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602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3、生成项目询价单</w:t>
            </w:r>
          </w:p>
        </w:tc>
      </w:tr>
      <w:tr w14:paraId="3ED26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B5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02D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预算管理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0A1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数据分析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8957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根据各单位使用情况行程分析表，可视化展示预算执行情况，提示预警。</w:t>
            </w:r>
          </w:p>
        </w:tc>
      </w:tr>
      <w:tr w14:paraId="45C18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246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47BB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BB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预算编制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E2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算方案分配通过PC端录入年度总经费分配类目、分配金额比例，以及各部门预算金额。关联费用申报模块数据，自动生成预算经费的使用进度情况。财务人员可根据整体项目预算使用情况做调整，每次调整系统将记录调整内容、时间、调整依据等。</w:t>
            </w:r>
          </w:p>
        </w:tc>
      </w:tr>
      <w:tr w14:paraId="42EBC9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9F3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5D50C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066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支出统计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A7F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项目资金管理，通过后台管理每一笔采购项目，记录项目付款情况，并给予信息提醒，提醒财务人员跟进。</w:t>
            </w:r>
          </w:p>
        </w:tc>
      </w:tr>
      <w:tr w14:paraId="15A58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74E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FD0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DA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科目设置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D3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根据会计记账准则设置科目类型，一级科目、预算算法。可自定义修改</w:t>
            </w:r>
          </w:p>
        </w:tc>
      </w:tr>
      <w:tr w14:paraId="1BB71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7C8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21E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辅警被装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DE2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辅警信息设置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7AB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支持个人被装尺寸、身高体重设置、查看当年可申领被装金额</w:t>
            </w:r>
          </w:p>
        </w:tc>
      </w:tr>
      <w:tr w14:paraId="671C7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687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59CB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351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被装类型管理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34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1、服装种类、采购单价、使用年限、适用警种、申领金额标准；</w:t>
            </w:r>
          </w:p>
        </w:tc>
      </w:tr>
      <w:tr w14:paraId="0B41E0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84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1C77A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786B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B33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2、以上数据支持定制化修改</w:t>
            </w:r>
          </w:p>
        </w:tc>
      </w:tr>
      <w:tr w14:paraId="5675B5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5FF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6D20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6C1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被装申领管理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9ADA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1、支持辅警在线申领，挑选服装，申领数量，自动计算申领服装的总额，可申领金额提示，未被审批前申请单支持修改；</w:t>
            </w:r>
          </w:p>
        </w:tc>
      </w:tr>
      <w:tr w14:paraId="25393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093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19B8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9A6B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FBF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2、申领审核，支持批量操作：审核、驳回、发放；</w:t>
            </w:r>
          </w:p>
        </w:tc>
      </w:tr>
      <w:tr w14:paraId="7240C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95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8BA09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91AB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A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3、根据被装申领记录，自动统计被装预算；</w:t>
            </w:r>
          </w:p>
        </w:tc>
      </w:tr>
      <w:tr w14:paraId="3258B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8A7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E7A6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FDE1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540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4、根据账号权限查询全局申领列表、个人申领列表</w:t>
            </w:r>
          </w:p>
        </w:tc>
      </w:tr>
      <w:tr w14:paraId="0EDD0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8A66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40469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合同管理（新增模块）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33B2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425D8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填报合同基本信息、金额、部门、责任人、关项目、合同附件，提交审批。</w:t>
            </w:r>
          </w:p>
        </w:tc>
      </w:tr>
      <w:tr w14:paraId="0740D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B5A66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9C430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4949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69C6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合同列表、根据条件筛选合同、合同审批</w:t>
            </w:r>
          </w:p>
        </w:tc>
      </w:tr>
      <w:tr w14:paraId="32B7E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8DA78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468E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479D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台账生成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AFA1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选择时间、部门等信息生成合同审签单</w:t>
            </w:r>
          </w:p>
        </w:tc>
      </w:tr>
      <w:tr w14:paraId="10358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D1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AF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系统登录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64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登录方式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9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1、移动警务终端账号密码登录，仅针对民警；</w:t>
            </w:r>
          </w:p>
        </w:tc>
      </w:tr>
      <w:tr w14:paraId="2750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E83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F177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053B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09C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2、PC端，民辅警均可通过账号密码登；</w:t>
            </w:r>
          </w:p>
        </w:tc>
      </w:tr>
      <w:tr w14:paraId="5AE71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97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D0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组织架构</w:t>
            </w:r>
          </w:p>
        </w:tc>
        <w:tc>
          <w:tcPr>
            <w:tcW w:w="11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B5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民警信息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0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1、对接四川省公安厅提供的组织架构信息，民警组织架构信息与之同步；</w:t>
            </w:r>
          </w:p>
        </w:tc>
      </w:tr>
      <w:tr w14:paraId="78FD02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41B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DF99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FFFD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474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2、导入全局民警银行账号、开户行、公务卡信息</w:t>
            </w:r>
          </w:p>
        </w:tc>
      </w:tr>
      <w:tr w14:paraId="57E64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9F6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2BB1E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D6A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辅警信息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122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辅警人员基本信息：部门、姓名、联系方式、所属警种（文职、巡警等）</w:t>
            </w:r>
          </w:p>
        </w:tc>
      </w:tr>
      <w:tr w14:paraId="532A4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12D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876D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9F8E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信息维护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93B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根据不同管理权限，通过管理后台对人员基本信息新增、修改、更新、删除；</w:t>
            </w:r>
          </w:p>
        </w:tc>
      </w:tr>
      <w:tr w14:paraId="0E300B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93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42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权限管理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2FB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权限分配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7FC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根据职责以及管理范围分配权限和分组，对账号权限增、删、改</w:t>
            </w:r>
          </w:p>
        </w:tc>
      </w:tr>
      <w:tr w14:paraId="2DD5C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AA4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9A6D5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165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业务流转定义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364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通过用户权限控制，可自定义各功能模块审批节点的设置；</w:t>
            </w:r>
          </w:p>
        </w:tc>
      </w:tr>
      <w:tr w14:paraId="3BA0F1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69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7E5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日志管理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A2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日志查询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573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账号登录日志、业务操作日志</w:t>
            </w:r>
          </w:p>
        </w:tc>
      </w:tr>
      <w:tr w14:paraId="628E83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E63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9648A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A63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日志保护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00E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具有日记数据保护功能，可以设定禁止修改功能，保证日志数据的真实性。</w:t>
            </w:r>
          </w:p>
        </w:tc>
      </w:tr>
      <w:tr w14:paraId="22119E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B2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936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统计报表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8C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报表管理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E2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各功能模块均支持数据报表的统计，数据明细查询、汇总查询</w:t>
            </w:r>
          </w:p>
        </w:tc>
      </w:tr>
      <w:tr w14:paraId="78F5E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D13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287D0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51D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关键字搜索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272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支持根据字段搜索查询，以及导出EXCEL表格</w:t>
            </w:r>
          </w:p>
        </w:tc>
      </w:tr>
      <w:tr w14:paraId="1FD765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20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6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57F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个人中心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620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个人信息维护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1B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个人基本信息查看与修改：联系方式、头像、签名信息</w:t>
            </w:r>
          </w:p>
        </w:tc>
      </w:tr>
      <w:tr w14:paraId="5E333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655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FCAB0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BA23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修改密码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F0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修改登录密码，PC端与移动端密码为同一</w:t>
            </w:r>
          </w:p>
        </w:tc>
      </w:tr>
      <w:tr w14:paraId="5F070A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607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0D59D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B071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待办事项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833C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待办事项提醒、查看及跳转至事项详情进行处理</w:t>
            </w:r>
          </w:p>
        </w:tc>
      </w:tr>
      <w:tr w14:paraId="7ACB21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08B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3EF7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E60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电子签名上传</w:t>
            </w:r>
          </w:p>
        </w:tc>
        <w:tc>
          <w:tcPr>
            <w:tcW w:w="67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7FC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导入签名图片，系统自动识别手工签名信息存档</w:t>
            </w:r>
          </w:p>
        </w:tc>
      </w:tr>
    </w:tbl>
    <w:p w14:paraId="137BFB81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4015A21D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108E9F01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16D6284C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5CBC61D4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46DE1443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43589DA7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25EBF298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6080425E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271BD148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3B4ACAC6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1E461B3F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7DFA80E7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702777D9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4D54340A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27B6EEC5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2F0BE9F1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09C78D5F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11F7AD7F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633CA556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01C2E43B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48F78859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02052D91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1D4B2C2C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21B59F23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6A461354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4F62BF12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474EB7BC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3D75D546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2E072491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0117AD46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2F39EB12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0635C2B4">
      <w:pPr>
        <w:numPr>
          <w:ilvl w:val="0"/>
          <w:numId w:val="0"/>
        </w:numPr>
        <w:rPr>
          <w:rFonts w:hint="default" w:ascii="宋体" w:hAnsi="宋体"/>
          <w:color w:val="000000"/>
          <w:sz w:val="24"/>
          <w:szCs w:val="24"/>
          <w:lang w:val="en-US" w:eastAsia="zh-CN"/>
        </w:rPr>
      </w:pPr>
    </w:p>
    <w:p w14:paraId="0A170AEC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响应函</w:t>
      </w:r>
    </w:p>
    <w:p w14:paraId="1A417CCF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bookmarkStart w:id="0" w:name="_GoBack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致： 眉山市公安局天府新区分局 </w:t>
      </w:r>
    </w:p>
    <w:p w14:paraId="05262D84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我单位作为 {项目名称} 的报价供应商，自愿参与本项目竞争，充分理解竞价项目的要求，在此郑重声明及承诺： </w:t>
      </w:r>
    </w:p>
    <w:p w14:paraId="15224AD0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1.我单位具有独立承担民事责任的能力； </w:t>
      </w:r>
    </w:p>
    <w:p w14:paraId="4E46DA29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2.我单位具有良好的商业信誉和健全的财务会计制度； </w:t>
      </w:r>
    </w:p>
    <w:p w14:paraId="554859CA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3.我单位具有履行合同所必需的设备和专业技术能力； </w:t>
      </w:r>
    </w:p>
    <w:p w14:paraId="21F54537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4.我单位具有依法缴纳税收和社会保障资金的良好记录； </w:t>
      </w:r>
    </w:p>
    <w:p w14:paraId="187E0156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5.我单位参加本项目竞价活动前三年内，在经营活动中没有重大违法记录； </w:t>
      </w:r>
    </w:p>
    <w:p w14:paraId="0B052424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6.我单位满足询价竞价项目规定的特定条件； </w:t>
      </w:r>
    </w:p>
    <w:p w14:paraId="33739EB8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7.我单位不存在与单位负责人为同一人或者存在直接控股、管理关系的其他供应商参与同一合同项下的竞价活动的行为； </w:t>
      </w:r>
    </w:p>
    <w:p w14:paraId="09D2AA4F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8.我单位不属于为本竞价项目提供整体设计、规范编制或者项目管理、监理、检测等服务的供应商； </w:t>
      </w:r>
    </w:p>
    <w:p w14:paraId="698CAEDD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9.我单位不存在与其他供应商委托同一单位或者个人编制报价文件、办理响应事宜的情形； </w:t>
      </w:r>
    </w:p>
    <w:p w14:paraId="4241F0B0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10.我单位一旦成交，将严格按照询价公告规定，在约定期限内签订采购协议，并严格履行采购协议规定的责任和义务； </w:t>
      </w:r>
    </w:p>
    <w:p w14:paraId="77B11846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11.我单位在本项目使用的任何技术、产品和服务（包括部分使用）时，不会产生因第三方提出侵犯其专利权、商标权或其它知识产权而引起的法律和经济纠纷，如因专利权、商标权或其它知识产权而引起法律和经济纠纷，由我单位承担所有相关责任； </w:t>
      </w:r>
    </w:p>
    <w:p w14:paraId="2E6E7809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12.我单位为本项目实施涉及的商品包装和快递包装，均符合《商品包装政府采购需求标准（试行）》《快递包装政府采购需求标准（试行）》的要求，包装适应于远距离运输、防潮、防震、防锈和防野蛮装卸，以确保货物安全无损运抵指定地点； </w:t>
      </w:r>
    </w:p>
    <w:p w14:paraId="1B6ADEF9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13.我单位完全接受和理解本项目询价通知规定的实质性要求； </w:t>
      </w:r>
    </w:p>
    <w:p w14:paraId="4D4DC357">
      <w:pPr>
        <w:keepNext w:val="0"/>
        <w:keepLines w:val="0"/>
        <w:widowControl/>
        <w:suppressLineNumbers w:val="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14.我单位承诺，报价资料有效期为提交报价资料截止之日起不少于90 天。 </w:t>
      </w:r>
    </w:p>
    <w:p w14:paraId="45F89D80">
      <w:pPr>
        <w:keepNext w:val="0"/>
        <w:keepLines w:val="0"/>
        <w:widowControl/>
        <w:suppressLineNumbers w:val="0"/>
        <w:ind w:firstLine="560" w:firstLineChars="200"/>
        <w:jc w:val="left"/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>根据询价通知公告规定，以上承诺事项如需提供相关证明材料的，以报价资料中提供的证明材料为准。本函发出后，即对我单位产生约束力，我单位保证严格遵守本响应函的各项承诺，并对本次提交的报价资料全部内容真实性负责。如经查实上述承诺的内容事项存在虚假，我单位愿意接受以提供虚假材料谋取入围、成交的法律责任。</w:t>
      </w:r>
    </w:p>
    <w:p w14:paraId="71E5EAD4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特此声明。 </w:t>
      </w:r>
    </w:p>
    <w:p w14:paraId="658A6393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所有有关本次响应的一切往来联系方式为： </w:t>
      </w:r>
    </w:p>
    <w:p w14:paraId="5A7442B3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响应供应商代表姓名： </w:t>
      </w:r>
    </w:p>
    <w:p w14:paraId="3F9393AB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联系方式： </w:t>
      </w:r>
    </w:p>
    <w:p w14:paraId="47D56653">
      <w:pPr>
        <w:keepNext w:val="0"/>
        <w:keepLines w:val="0"/>
        <w:widowControl/>
        <w:suppressLineNumbers w:val="0"/>
        <w:ind w:firstLine="560" w:firstLineChars="200"/>
        <w:jc w:val="lef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联系地址： </w:t>
      </w:r>
    </w:p>
    <w:p w14:paraId="041B106F">
      <w:pPr>
        <w:keepNext w:val="0"/>
        <w:keepLines w:val="0"/>
        <w:widowControl/>
        <w:suppressLineNumbers w:val="0"/>
        <w:ind w:firstLine="560" w:firstLineChars="200"/>
        <w:jc w:val="right"/>
        <w:rPr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供应商名称： {供应商名称} （签章） </w:t>
      </w:r>
    </w:p>
    <w:p w14:paraId="5C203897">
      <w:pPr>
        <w:rPr>
          <w:sz w:val="20"/>
          <w:szCs w:val="22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 w:bidi="ar"/>
        </w:rPr>
        <w:t xml:space="preserve">日 期:          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8C4572"/>
    <w:rsid w:val="7A8C4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2026-07-10T02:26:00Z</dcterms:created>
  <dc:creator>琳琳。。</dc:creator>
  <cp:lastModifiedBy>琳琳。。</cp:lastModifiedBy>
  <dcterms:modified xsi:type="dcterms:W3CDTF">2026-07-10T02:27:31Z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A50BF15BB9DF4DF28EE24A5CD8B051D7_11</vt:lpwstr>
  </property>
  <property fmtid="{D5CDD505-2E9C-101B-9397-08002B2CF9AE}" pid="4" name="KSOTemplateDocerSaveRecord">
    <vt:lpwstr>eyJoZGlkIjoiYjI3N2M5MWFjNDYyOGYyZWEyODEyZWI5ZGNjNDBjM2IiLCJ1c2VySWQiOiI5OTI4Nzc4NTYifQ==</vt:lpwstr>
  </property>
</Properties>
</file>